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5.png" ContentType="image/png"/>
  <Override PartName="/word/media/rId141.png" ContentType="image/png"/>
  <Override PartName="/word/media/rId147.png" ContentType="image/png"/>
  <Override PartName="/word/media/rId123.png" ContentType="image/png"/>
  <Override PartName="/word/media/rId129.png" ContentType="image/png"/>
  <Override PartName="/word/media/rId117.png" ContentType="image/png"/>
  <Override PartName="/word/media/rId109.png" ContentType="image/png"/>
  <Override PartName="/word/media/rId27.png" ContentType="image/png"/>
  <Override PartName="/word/media/rId99.jpg" ContentType="image/jpeg"/>
  <Override PartName="/word/media/rId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Marine</w:t>
      </w:r>
      <w:r>
        <w:t xml:space="preserve"> </w:t>
      </w:r>
      <w:r>
        <w:t xml:space="preserve">Sensitivity</w:t>
      </w:r>
    </w:p>
    <w:p>
      <w:pPr>
        <w:pStyle w:val="Subtitle"/>
      </w:pPr>
      <w:r>
        <w:t xml:space="preserve">Marine</w:t>
      </w:r>
      <w:r>
        <w:t xml:space="preserve"> </w:t>
      </w:r>
      <w:r>
        <w:t xml:space="preserve">Sensitivity</w:t>
      </w:r>
      <w:r>
        <w:t xml:space="preserve"> </w:t>
      </w:r>
      <w:r>
        <w:t xml:space="preserve">Documentation</w:t>
      </w:r>
    </w:p>
    <w:p>
      <w:pPr>
        <w:pStyle w:val="Author"/>
      </w:pPr>
      <w:r>
        <w:t xml:space="preserve">Ben</w:t>
      </w:r>
      <w:r>
        <w:t xml:space="preserve"> </w:t>
      </w:r>
      <w:r>
        <w:t xml:space="preserve">Best</w:t>
      </w:r>
    </w:p>
    <w:p>
      <w:pPr>
        <w:pStyle w:val="Date"/>
      </w:pPr>
      <w:r>
        <w:t xml:space="preserve">2024-08-29</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preface"/>
    <w:p>
      <w:pPr>
        <w:pStyle w:val="Heading1"/>
      </w:pPr>
      <w:r>
        <w:t xml:space="preserve">Preface</w:t>
      </w:r>
    </w:p>
    <w:p>
      <w:pPr>
        <w:pStyle w:val="FirstParagraph"/>
      </w:pPr>
      <w:r>
        <w:t xml:space="preserve">This is a Quarto book.</w:t>
      </w:r>
    </w:p>
    <w:bookmarkEnd w:id="20"/>
    <w:bookmarkStart w:id="26" w:name="introduction"/>
    <w:p>
      <w:pPr>
        <w:pStyle w:val="Heading1"/>
      </w:pPr>
      <w:r>
        <w:t xml:space="preserve">1. Introduction</w:t>
      </w:r>
    </w:p>
    <w:p>
      <w:pPr>
        <w:pStyle w:val="FirstParagraph"/>
      </w:pPr>
      <w:r>
        <w:t xml:space="preserve">This Marine Sensitivity (MS) project of</w:t>
      </w:r>
      <w:r>
        <w:t xml:space="preserve"> </w:t>
      </w:r>
      <w:hyperlink r:id="rId21">
        <w:r>
          <w:rPr>
            <w:rStyle w:val="Hyperlink"/>
          </w:rPr>
          <w:t xml:space="preserve">BOEM</w:t>
        </w:r>
      </w:hyperlink>
      <w:r>
        <w:t xml:space="preserve"> </w:t>
      </w:r>
      <w:r>
        <w:t xml:space="preserve">seeks to assess the sensitivity of marine species to offshore energy development, whether oil &amp; gas or wind. By combining the best available species distributions with known species sensitivities we can map out areas of the ocean that are most vulnerable to human activities. This information can be used to inform decisions about where to place energy infrastructure and/or implement mitigations to minimize impacts on the marine environment.</w:t>
      </w:r>
    </w:p>
    <w:p>
      <w:pPr>
        <w:pStyle w:val="BodyText"/>
      </w:pPr>
      <w:r>
        <w:t xml:space="preserve">This is a process, not a product. Information is imperfect, especially given the large expanse of US waters. Distributions and abundance of species change, modified increasingly by climate change and human activities. Knowledge on species sensitivities continues to expand with more research. And finally the methods for both modeling and distributing all this information continue to improve. We aim to provide a transparent and reproducible process that can be regularly updated as new data and methods become available.</w:t>
      </w:r>
    </w:p>
    <w:tbl>
      <w:tblPr>
        <w:tblStyle w:val="Table"/>
        <w:tblW w:type="pct" w:w="5000"/>
        <w:tblLayout w:type="fixed"/>
        <w:tblLook w:firstRow="0" w:lastRow="0" w:firstColumn="0" w:lastColumn="0" w:noHBand="0" w:noVBand="0" w:val="0000"/>
      </w:tblPr>
      <w:tblGrid>
        <w:gridCol w:w="7920"/>
      </w:tblGrid>
      <w:tr>
        <w:tc>
          <w:tcPr/>
          <w:bookmarkStart w:id="25" w:name="fig-process"/>
          <w:p>
            <w:pPr>
              <w:jc w:val="center"/>
            </w:pPr>
            <w:r>
              <w:drawing>
                <wp:inline>
                  <wp:extent cx="5334000" cy="1682287"/>
                  <wp:effectExtent b="0" l="0" r="0" t="0"/>
                  <wp:docPr descr="" title="" id="23" name="Picture"/>
                  <a:graphic>
                    <a:graphicData uri="http://schemas.openxmlformats.org/drawingml/2006/picture">
                      <pic:pic>
                        <pic:nvPicPr>
                          <pic:cNvPr descr="intro_files/figure-docx/mermaid-figure-1.png" id="24" name="Picture"/>
                          <pic:cNvPicPr>
                            <a:picLocks noChangeArrowheads="1" noChangeAspect="1"/>
                          </pic:cNvPicPr>
                        </pic:nvPicPr>
                        <pic:blipFill>
                          <a:blip r:embed="rId22"/>
                          <a:stretch>
                            <a:fillRect/>
                          </a:stretch>
                        </pic:blipFill>
                        <pic:spPr bwMode="auto">
                          <a:xfrm>
                            <a:off x="0" y="0"/>
                            <a:ext cx="5334000" cy="16822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Flowchart of process for incorporating marine species sensitivities with distributions and generating a holistic vulnerability map.</w:t>
            </w:r>
          </w:p>
          <w:bookmarkEnd w:id="25"/>
        </w:tc>
      </w:tr>
    </w:tbl>
    <w:bookmarkEnd w:id="26"/>
    <w:bookmarkStart w:id="33" w:name="stressors"/>
    <w:p>
      <w:pPr>
        <w:pStyle w:val="Heading1"/>
      </w:pPr>
      <w:r>
        <w:t xml:space="preserve">2. Stressors</w:t>
      </w:r>
    </w:p>
    <w:bookmarkStart w:id="31" w:name="offshore-wind-energy"/>
    <w:p>
      <w:pPr>
        <w:pStyle w:val="Heading2"/>
      </w:pPr>
      <w:r>
        <w:t xml:space="preserve">2.1 Offshore Wind Energy</w:t>
      </w:r>
    </w:p>
    <w:p>
      <w:pPr>
        <w:pStyle w:val="FirstParagraph"/>
      </w:pPr>
      <w:r>
        <w:t xml:space="preserve">Evaluation of stressors from the offshore wind industry needs to be evaluated based on human activities given the phase of development, whether pre-construction, construction, operation or decommissioning (</w:t>
      </w:r>
      <w:hyperlink w:anchor="fig-cum-effects">
        <w:r>
          <w:rPr>
            <w:rStyle w:val="Hyperlink"/>
          </w:rPr>
          <w:t xml:space="preserve">Figure 2.1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0" w:name="fig-cum-effects"/>
          <w:p>
            <w:pPr>
              <w:pStyle w:val="Compact"/>
              <w:jc w:val="center"/>
            </w:pPr>
            <w:r>
              <w:drawing>
                <wp:inline>
                  <wp:extent cx="5334000" cy="3953635"/>
                  <wp:effectExtent b="0" l="0" r="0" t="0"/>
                  <wp:docPr descr="" title="" id="28" name="Picture"/>
                  <a:graphic>
                    <a:graphicData uri="http://schemas.openxmlformats.org/drawingml/2006/picture">
                      <pic:pic>
                        <pic:nvPicPr>
                          <pic:cNvPr descr="figures/goodale2016_cumulative-effects.png" id="29" name="Picture"/>
                          <pic:cNvPicPr>
                            <a:picLocks noChangeArrowheads="1" noChangeAspect="1"/>
                          </pic:cNvPicPr>
                        </pic:nvPicPr>
                        <pic:blipFill>
                          <a:blip r:embed="rId27"/>
                          <a:stretch>
                            <a:fillRect/>
                          </a:stretch>
                        </pic:blipFill>
                        <pic:spPr bwMode="auto">
                          <a:xfrm>
                            <a:off x="0" y="0"/>
                            <a:ext cx="5334000" cy="39536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Cumulative adverse effects of offshore wind energy development on wildlife</w:t>
            </w:r>
            <w:r>
              <w:t xml:space="preserve"> </w:t>
            </w:r>
            <w:r>
              <w:t xml:space="preserve">(Goodale and Milman 2016)</w:t>
            </w:r>
            <w:r>
              <w:t xml:space="preserve">.</w:t>
            </w:r>
          </w:p>
          <w:bookmarkEnd w:id="30"/>
        </w:tc>
      </w:tr>
    </w:tbl>
    <w:bookmarkEnd w:id="31"/>
    <w:bookmarkStart w:id="32" w:name="oil-gas"/>
    <w:p>
      <w:pPr>
        <w:pStyle w:val="Heading2"/>
      </w:pPr>
      <w:r>
        <w:t xml:space="preserve">2.2 Oil &amp; Gas</w:t>
      </w:r>
    </w:p>
    <w:bookmarkEnd w:id="32"/>
    <w:bookmarkEnd w:id="33"/>
    <w:bookmarkStart w:id="40" w:name="receptors"/>
    <w:p>
      <w:pPr>
        <w:pStyle w:val="Heading1"/>
      </w:pPr>
      <w:r>
        <w:t xml:space="preserve">3. Receptors</w:t>
      </w:r>
    </w:p>
    <w:p>
      <w:pPr>
        <w:pStyle w:val="FirstParagraph"/>
      </w:pPr>
      <w:r>
        <w:t xml:space="preserve">Receptors are the species and habitats that are potentially impacted by the human activity.</w:t>
      </w:r>
    </w:p>
    <w:bookmarkStart w:id="34" w:name="corals"/>
    <w:p>
      <w:pPr>
        <w:pStyle w:val="Heading2"/>
      </w:pPr>
      <w:r>
        <w:t xml:space="preserve">3.1 Corals</w:t>
      </w:r>
    </w:p>
    <w:bookmarkEnd w:id="34"/>
    <w:bookmarkStart w:id="35" w:name="invertebrates"/>
    <w:p>
      <w:pPr>
        <w:pStyle w:val="Heading2"/>
      </w:pPr>
      <w:r>
        <w:t xml:space="preserve">3.2 Invertebrates</w:t>
      </w:r>
    </w:p>
    <w:bookmarkEnd w:id="35"/>
    <w:bookmarkStart w:id="36" w:name="fish"/>
    <w:p>
      <w:pPr>
        <w:pStyle w:val="Heading2"/>
      </w:pPr>
      <w:r>
        <w:t xml:space="preserve">3.3 Fish</w:t>
      </w:r>
    </w:p>
    <w:bookmarkEnd w:id="36"/>
    <w:bookmarkStart w:id="37" w:name="marine-mammals"/>
    <w:p>
      <w:pPr>
        <w:pStyle w:val="Heading2"/>
      </w:pPr>
      <w:r>
        <w:t xml:space="preserve">3.4 Marine Mammals</w:t>
      </w:r>
    </w:p>
    <w:bookmarkEnd w:id="37"/>
    <w:bookmarkStart w:id="38" w:name="seabirds"/>
    <w:p>
      <w:pPr>
        <w:pStyle w:val="Heading2"/>
      </w:pPr>
      <w:r>
        <w:t xml:space="preserve">3.5 Seabirds</w:t>
      </w:r>
    </w:p>
    <w:bookmarkEnd w:id="38"/>
    <w:bookmarkStart w:id="39" w:name="sea-turtles"/>
    <w:p>
      <w:pPr>
        <w:pStyle w:val="Heading2"/>
      </w:pPr>
      <w:r>
        <w:t xml:space="preserve">3.6 Sea Turtles</w:t>
      </w:r>
    </w:p>
    <w:bookmarkEnd w:id="39"/>
    <w:bookmarkEnd w:id="40"/>
    <w:bookmarkStart w:id="41" w:name="exposure"/>
    <w:p>
      <w:pPr>
        <w:pStyle w:val="Heading1"/>
      </w:pPr>
      <w:r>
        <w:t xml:space="preserve">4. Exposure</w:t>
      </w:r>
    </w:p>
    <w:bookmarkEnd w:id="41"/>
    <w:bookmarkStart w:id="63" w:name="server"/>
    <w:p>
      <w:pPr>
        <w:pStyle w:val="Heading1"/>
      </w:pPr>
      <w:r>
        <w:t xml:space="preserve">5. Server</w:t>
      </w:r>
    </w:p>
    <w:p>
      <w:pPr>
        <w:pStyle w:val="FirstParagraph"/>
      </w:pPr>
      <w:r>
        <w:t xml:space="preserve">The server is for serving up any web services outside those of Github (e.g.,</w:t>
      </w:r>
      <w:r>
        <w:t xml:space="preserve"> </w:t>
      </w:r>
      <w:hyperlink r:id="rId42">
        <w:r>
          <w:rPr>
            <w:rStyle w:val="Hyperlink"/>
          </w:rPr>
          <w:t xml:space="preserve">website</w:t>
        </w:r>
      </w:hyperlink>
      <w:r>
        <w:t xml:space="preserve">,</w:t>
      </w:r>
      <w:r>
        <w:t xml:space="preserve"> </w:t>
      </w:r>
      <w:hyperlink r:id="rId43">
        <w:r>
          <w:rPr>
            <w:rStyle w:val="Hyperlink"/>
          </w:rPr>
          <w:t xml:space="preserve">docs</w:t>
        </w:r>
      </w:hyperlink>
      <w:r>
        <w:t xml:space="preserve"> </w:t>
      </w:r>
      <w:r>
        <w:t xml:space="preserve">and R package</w:t>
      </w:r>
      <w:r>
        <w:t xml:space="preserve"> </w:t>
      </w:r>
      <w:hyperlink r:id="rId44">
        <w:r>
          <w:rPr>
            <w:rStyle w:val="Hyperlink"/>
          </w:rPr>
          <w:t xml:space="preserve">msens</w:t>
        </w:r>
      </w:hyperlink>
      <w:r>
        <w:t xml:space="preserve">) using</w:t>
      </w:r>
      <w:r>
        <w:t xml:space="preserve"> </w:t>
      </w:r>
      <w:hyperlink r:id="rId45">
        <w:r>
          <w:rPr>
            <w:rStyle w:val="Hyperlink"/>
          </w:rPr>
          <w:t xml:space="preserve">Docker</w:t>
        </w:r>
      </w:hyperlink>
      <w:r>
        <w:t xml:space="preserve"> </w:t>
      </w:r>
      <w:r>
        <w:t xml:space="preserve">(see the</w:t>
      </w:r>
      <w:r>
        <w:t xml:space="preserve"> </w:t>
      </w:r>
      <w:hyperlink r:id="rId46">
        <w:r>
          <w:rPr>
            <w:rStyle w:val="Hyperlink"/>
          </w:rPr>
          <w:t xml:space="preserve">docker-compose.yml</w:t>
        </w:r>
      </w:hyperlink>
      <w:r>
        <w:t xml:space="preserve">; with reverse proxying from subdomains to ports by</w:t>
      </w:r>
      <w:r>
        <w:t xml:space="preserve"> </w:t>
      </w:r>
      <w:hyperlink r:id="rId47">
        <w:r>
          <w:rPr>
            <w:rStyle w:val="Hyperlink"/>
          </w:rPr>
          <w:t xml:space="preserve">Caddy</w:t>
        </w:r>
      </w:hyperlink>
      <w:r>
        <w:t xml:space="preserve">).</w:t>
      </w:r>
    </w:p>
    <w:bookmarkStart w:id="49" w:name="setup"/>
    <w:p>
      <w:pPr>
        <w:pStyle w:val="Heading2"/>
      </w:pPr>
      <w:r>
        <w:t xml:space="preserve">5.1 Setup</w:t>
      </w:r>
    </w:p>
    <w:p>
      <w:pPr>
        <w:pStyle w:val="FirstParagraph"/>
      </w:pPr>
      <w:r>
        <w:t xml:space="preserve">For instructions on launching an Amazon instance and installing the server software, see</w:t>
      </w:r>
      <w:r>
        <w:t xml:space="preserve"> </w:t>
      </w:r>
      <w:hyperlink r:id="rId48">
        <w:r>
          <w:rPr>
            <w:rStyle w:val="Hyperlink"/>
          </w:rPr>
          <w:t xml:space="preserve">Server Setup · MarineSensitivity/server Wiki</w:t>
        </w:r>
      </w:hyperlink>
      <w:r>
        <w:t xml:space="preserve">.</w:t>
      </w:r>
    </w:p>
    <w:bookmarkEnd w:id="49"/>
    <w:bookmarkStart w:id="62" w:name="services"/>
    <w:p>
      <w:pPr>
        <w:pStyle w:val="Heading2"/>
      </w:pPr>
      <w:r>
        <w:t xml:space="preserve">5.2 Services</w:t>
      </w:r>
    </w:p>
    <w:p>
      <w:pPr>
        <w:pStyle w:val="FirstParagraph"/>
      </w:pPr>
      <w:r>
        <w:t xml:space="preserve">The server is running the following services:</w:t>
      </w:r>
    </w:p>
    <w:p>
      <w:pPr>
        <w:numPr>
          <w:ilvl w:val="0"/>
          <w:numId w:val="1001"/>
        </w:numPr>
      </w:pPr>
      <w:hyperlink r:id="rId50">
        <w:r>
          <w:rPr>
            <w:rStyle w:val="Hyperlink"/>
            <w:b/>
            <w:bCs/>
          </w:rPr>
          <w:t xml:space="preserve">RStudio</w:t>
        </w:r>
      </w:hyperlink>
      <w:r>
        <w:br/>
      </w:r>
      <w:r>
        <w:rPr>
          <w:i/>
          <w:iCs/>
        </w:rPr>
        <w:t xml:space="preserve">integrated development environment (IDE) to code and debug directly on the server</w:t>
      </w:r>
      <w:r>
        <w:t xml:space="preserve"> </w:t>
      </w:r>
      <w:r>
        <w:br/>
      </w:r>
      <w:hyperlink r:id="rId51">
        <w:r>
          <w:rPr>
            <w:rStyle w:val="Hyperlink"/>
          </w:rPr>
          <w:t xml:space="preserve">More info..</w:t>
        </w:r>
      </w:hyperlink>
    </w:p>
    <w:p>
      <w:pPr>
        <w:numPr>
          <w:ilvl w:val="0"/>
          <w:numId w:val="1001"/>
        </w:numPr>
      </w:pPr>
      <w:hyperlink r:id="rId52">
        <w:r>
          <w:rPr>
            <w:rStyle w:val="Hyperlink"/>
            <w:b/>
            <w:bCs/>
          </w:rPr>
          <w:t xml:space="preserve">Shiny</w:t>
        </w:r>
      </w:hyperlink>
      <w:r>
        <w:br/>
      </w:r>
      <w:r>
        <w:rPr>
          <w:i/>
          <w:iCs/>
        </w:rPr>
        <w:t xml:space="preserve">interactive applications</w:t>
      </w:r>
      <w:r>
        <w:br/>
      </w:r>
      <w:r>
        <w:t xml:space="preserve">e.g.,</w:t>
      </w:r>
      <w:r>
        <w:t xml:space="preserve"> </w:t>
      </w:r>
      <w:hyperlink r:id="rId53">
        <w:r>
          <w:rPr>
            <w:rStyle w:val="Hyperlink"/>
            <w:b/>
            <w:bCs/>
          </w:rPr>
          <w:t xml:space="preserve">shiny</w:t>
        </w:r>
        <w:r>
          <w:rPr>
            <w:rStyle w:val="Hyperlink"/>
          </w:rPr>
          <w:t xml:space="preserve">.marinesensitivity.org/</w:t>
        </w:r>
        <w:r>
          <w:rPr>
            <w:rStyle w:val="Hyperlink"/>
            <w:b/>
            <w:bCs/>
          </w:rPr>
          <w:t xml:space="preserve">map</w:t>
        </w:r>
      </w:hyperlink>
      <w:r>
        <w:br/>
      </w:r>
      <w:r>
        <w:br/>
      </w:r>
      <w:hyperlink r:id="rId54">
        <w:r>
          <w:rPr>
            <w:rStyle w:val="Hyperlink"/>
          </w:rPr>
          <w:t xml:space="preserve">More info..</w:t>
        </w:r>
      </w:hyperlink>
    </w:p>
    <w:p>
      <w:pPr>
        <w:numPr>
          <w:ilvl w:val="0"/>
          <w:numId w:val="1001"/>
        </w:numPr>
      </w:pPr>
      <w:hyperlink r:id="rId55">
        <w:r>
          <w:rPr>
            <w:rStyle w:val="Hyperlink"/>
            <w:b/>
            <w:bCs/>
          </w:rPr>
          <w:t xml:space="preserve">PGadmin</w:t>
        </w:r>
      </w:hyperlink>
      <w:r>
        <w:br/>
      </w:r>
      <w:r>
        <w:rPr>
          <w:i/>
          <w:iCs/>
        </w:rPr>
        <w:t xml:space="preserve">PostGreSQL database administration interface</w:t>
      </w:r>
      <w:r>
        <w:br/>
      </w:r>
      <w:r>
        <w:br/>
      </w:r>
      <w:hyperlink r:id="rId56">
        <w:r>
          <w:rPr>
            <w:rStyle w:val="Hyperlink"/>
          </w:rPr>
          <w:t xml:space="preserve">More info..</w:t>
        </w:r>
      </w:hyperlink>
    </w:p>
    <w:p>
      <w:pPr>
        <w:numPr>
          <w:ilvl w:val="0"/>
          <w:numId w:val="1001"/>
        </w:numPr>
      </w:pPr>
      <w:hyperlink r:id="rId57">
        <w:r>
          <w:rPr>
            <w:rStyle w:val="Hyperlink"/>
            <w:b/>
            <w:bCs/>
          </w:rPr>
          <w:t xml:space="preserve">api</w:t>
        </w:r>
      </w:hyperlink>
      <w:r>
        <w:br/>
      </w:r>
      <w:r>
        <w:rPr>
          <w:i/>
          <w:iCs/>
        </w:rPr>
        <w:t xml:space="preserve">custom API: using R plumber</w:t>
      </w:r>
      <w:r>
        <w:br/>
      </w:r>
      <w:r>
        <w:br/>
      </w:r>
      <w:hyperlink r:id="rId58">
        <w:r>
          <w:rPr>
            <w:rStyle w:val="Hyperlink"/>
          </w:rPr>
          <w:t xml:space="preserve">More info..</w:t>
        </w:r>
      </w:hyperlink>
    </w:p>
    <w:p>
      <w:pPr>
        <w:numPr>
          <w:ilvl w:val="0"/>
          <w:numId w:val="1001"/>
        </w:numPr>
      </w:pPr>
      <w:hyperlink r:id="rId59">
        <w:r>
          <w:rPr>
            <w:rStyle w:val="Hyperlink"/>
            <w:b/>
            <w:bCs/>
          </w:rPr>
          <w:t xml:space="preserve">swagger</w:t>
        </w:r>
      </w:hyperlink>
      <w:r>
        <w:br/>
      </w:r>
      <w:r>
        <w:rPr>
          <w:i/>
          <w:iCs/>
        </w:rPr>
        <w:t xml:space="preserve">generic database API: using PostGREST</w:t>
      </w:r>
      <w:r>
        <w:br/>
      </w:r>
      <w:r>
        <w:br/>
      </w:r>
      <w:hyperlink r:id="rId60">
        <w:r>
          <w:rPr>
            <w:rStyle w:val="Hyperlink"/>
          </w:rPr>
          <w:t xml:space="preserve">More info..</w:t>
        </w:r>
      </w:hyperlink>
    </w:p>
    <w:p>
      <w:pPr>
        <w:numPr>
          <w:ilvl w:val="0"/>
          <w:numId w:val="1001"/>
        </w:numPr>
      </w:pPr>
      <w:hyperlink r:id="rId61">
        <w:r>
          <w:rPr>
            <w:rStyle w:val="Hyperlink"/>
            <w:b/>
            <w:bCs/>
          </w:rPr>
          <w:t xml:space="preserve">tile</w:t>
        </w:r>
      </w:hyperlink>
      <w:r>
        <w:br/>
      </w:r>
      <w:r>
        <w:rPr>
          <w:i/>
          <w:iCs/>
        </w:rPr>
        <w:t xml:space="preserve">spatial database API: using pg_tileserv for serving vector tiles</w:t>
      </w:r>
      <w:r>
        <w:br/>
      </w:r>
      <w:r>
        <w:br/>
      </w:r>
      <w:hyperlink r:id="rId60">
        <w:r>
          <w:rPr>
            <w:rStyle w:val="Hyperlink"/>
          </w:rPr>
          <w:t xml:space="preserve">More info..</w:t>
        </w:r>
      </w:hyperlink>
    </w:p>
    <w:bookmarkEnd w:id="62"/>
    <w:bookmarkEnd w:id="63"/>
    <w:bookmarkStart w:id="68" w:name="database"/>
    <w:p>
      <w:pPr>
        <w:pStyle w:val="Heading1"/>
      </w:pPr>
      <w:r>
        <w:t xml:space="preserve">6. Database</w:t>
      </w:r>
    </w:p>
    <w:bookmarkStart w:id="64" w:name="table-and-column-naming-conventions"/>
    <w:p>
      <w:pPr>
        <w:pStyle w:val="Heading2"/>
      </w:pPr>
      <w:r>
        <w:t xml:space="preserve">6.1 Table and Column Naming Conventions</w:t>
      </w:r>
    </w:p>
    <w:p>
      <w:pPr>
        <w:pStyle w:val="Compact"/>
        <w:numPr>
          <w:ilvl w:val="0"/>
          <w:numId w:val="1002"/>
        </w:numPr>
      </w:pPr>
      <w:r>
        <w:t xml:space="preserve">Table names are plural and use all lower case.</w:t>
      </w:r>
    </w:p>
    <w:p>
      <w:pPr>
        <w:pStyle w:val="Compact"/>
        <w:numPr>
          <w:ilvl w:val="0"/>
          <w:numId w:val="1002"/>
        </w:numPr>
      </w:pPr>
      <w:r>
        <w:t xml:space="preserve">Unique identifiers are suffixed with:</w:t>
      </w:r>
    </w:p>
    <w:p>
      <w:pPr>
        <w:pStyle w:val="Compact"/>
        <w:numPr>
          <w:ilvl w:val="1"/>
          <w:numId w:val="1003"/>
        </w:numPr>
      </w:pPr>
      <w:r>
        <w:rPr>
          <w:rStyle w:val="VerbatimChar"/>
        </w:rPr>
        <w:t xml:space="preserve">*_id</w:t>
      </w:r>
      <w:r>
        <w:t xml:space="preserve"> </w:t>
      </w:r>
      <w:r>
        <w:t xml:space="preserve">for unique integer keys;</w:t>
      </w:r>
    </w:p>
    <w:p>
      <w:pPr>
        <w:pStyle w:val="Compact"/>
        <w:numPr>
          <w:ilvl w:val="1"/>
          <w:numId w:val="1003"/>
        </w:numPr>
      </w:pPr>
      <w:r>
        <w:rPr>
          <w:rStyle w:val="VerbatimChar"/>
        </w:rPr>
        <w:t xml:space="preserve">*_key</w:t>
      </w:r>
      <w:r>
        <w:t xml:space="preserve"> </w:t>
      </w:r>
      <w:r>
        <w:t xml:space="preserve">for unique string keys;</w:t>
      </w:r>
    </w:p>
    <w:p>
      <w:pPr>
        <w:pStyle w:val="Compact"/>
        <w:numPr>
          <w:ilvl w:val="1"/>
          <w:numId w:val="1003"/>
        </w:numPr>
      </w:pPr>
      <w:r>
        <w:rPr>
          <w:rStyle w:val="VerbatimChar"/>
        </w:rPr>
        <w:t xml:space="preserve">*_seq</w:t>
      </w:r>
      <w:r>
        <w:t xml:space="preserve"> </w:t>
      </w:r>
      <w:r>
        <w:t xml:space="preserve">for auto-incrementing sequence integer keys.</w:t>
      </w:r>
    </w:p>
    <w:p>
      <w:pPr>
        <w:pStyle w:val="Compact"/>
        <w:numPr>
          <w:ilvl w:val="0"/>
          <w:numId w:val="1002"/>
        </w:numPr>
      </w:pPr>
      <w:r>
        <w:t xml:space="preserve">Column names are singular and use snake_case.</w:t>
      </w:r>
    </w:p>
    <w:p>
      <w:pPr>
        <w:pStyle w:val="Compact"/>
        <w:numPr>
          <w:ilvl w:val="0"/>
          <w:numId w:val="1002"/>
        </w:numPr>
      </w:pPr>
      <w:r>
        <w:t xml:space="preserve">Foreign keys are named with the singular form of the table they reference, followed by _id.</w:t>
      </w:r>
    </w:p>
    <w:p>
      <w:pPr>
        <w:pStyle w:val="Compact"/>
        <w:numPr>
          <w:ilvl w:val="0"/>
          <w:numId w:val="1002"/>
        </w:numPr>
      </w:pPr>
      <w:r>
        <w:t xml:space="preserve">Primary keys are named id.</w:t>
      </w:r>
    </w:p>
    <w:bookmarkEnd w:id="64"/>
    <w:bookmarkStart w:id="67" w:name="species-distribution-models"/>
    <w:p>
      <w:pPr>
        <w:pStyle w:val="Heading2"/>
      </w:pPr>
      <w:r>
        <w:t xml:space="preserve">6.2 Species Distribution Models</w:t>
      </w:r>
    </w:p>
    <w:p>
      <w:pPr>
        <w:pStyle w:val="FirstParagraph"/>
      </w:pPr>
      <w:r>
        <w:t xml:space="preserve">See entity relationship diagram (ERD) for the species distribution models (SDM) database tables in this workflow:</w:t>
      </w:r>
    </w:p>
    <w:p>
      <w:pPr>
        <w:pStyle w:val="Compact"/>
        <w:numPr>
          <w:ilvl w:val="0"/>
          <w:numId w:val="1004"/>
        </w:numPr>
      </w:pPr>
      <w:hyperlink r:id="rId65">
        <w:r>
          <w:rPr>
            <w:rStyle w:val="Hyperlink"/>
          </w:rPr>
          <w:t xml:space="preserve">Create SDM Tables</w:t>
        </w:r>
      </w:hyperlink>
    </w:p>
    <w:p>
      <w:pPr>
        <w:pStyle w:val="FirstParagraph"/>
      </w:pPr>
      <w:r>
        <w:t xml:space="preserve">And example of ingesting SDM outputs into the database in this workflow:</w:t>
      </w:r>
    </w:p>
    <w:p>
      <w:pPr>
        <w:pStyle w:val="Compact"/>
        <w:numPr>
          <w:ilvl w:val="0"/>
          <w:numId w:val="1005"/>
        </w:numPr>
      </w:pPr>
      <w:hyperlink r:id="rId66">
        <w:r>
          <w:rPr>
            <w:rStyle w:val="Hyperlink"/>
          </w:rPr>
          <w:t xml:space="preserve">Ingest GoMex cetacean &amp; sea turtle SDMs</w:t>
        </w:r>
      </w:hyperlink>
    </w:p>
    <w:bookmarkEnd w:id="67"/>
    <w:bookmarkEnd w:id="68"/>
    <w:bookmarkStart w:id="71" w:name="workflows"/>
    <w:p>
      <w:pPr>
        <w:pStyle w:val="Heading1"/>
      </w:pPr>
      <w:r>
        <w:t xml:space="preserve">7. Workflows</w:t>
      </w:r>
    </w:p>
    <w:p>
      <w:pPr>
        <w:pStyle w:val="FirstParagraph"/>
      </w:pPr>
      <w:r>
        <w:t xml:space="preserve">Workflows are scripts for testing data analytics and visualization as well as production workflows for ingesting data. See:</w:t>
      </w:r>
    </w:p>
    <w:p>
      <w:pPr>
        <w:numPr>
          <w:ilvl w:val="0"/>
          <w:numId w:val="1006"/>
        </w:numPr>
      </w:pPr>
      <w:hyperlink r:id="rId69">
        <w:r>
          <w:rPr>
            <w:rStyle w:val="Hyperlink"/>
          </w:rPr>
          <w:t xml:space="preserve">marinesensitivity.org/workflows</w:t>
        </w:r>
      </w:hyperlink>
      <w:r>
        <w:br/>
      </w:r>
      <w:r>
        <w:t xml:space="preserve">rendered html pages from the scripts (as Quarto notebooks)</w:t>
      </w:r>
    </w:p>
    <w:p>
      <w:pPr>
        <w:numPr>
          <w:ilvl w:val="0"/>
          <w:numId w:val="1006"/>
        </w:numPr>
      </w:pPr>
      <w:hyperlink r:id="rId70">
        <w:r>
          <w:rPr>
            <w:rStyle w:val="Hyperlink"/>
          </w:rPr>
          <w:t xml:space="preserve">github.com/MarineSensitivity/workflows</w:t>
        </w:r>
      </w:hyperlink>
      <w:r>
        <w:br/>
      </w:r>
      <w:r>
        <w:t xml:space="preserve">source code in the Github repository</w:t>
      </w:r>
    </w:p>
    <w:bookmarkEnd w:id="71"/>
    <w:bookmarkStart w:id="73" w:name="apis"/>
    <w:p>
      <w:pPr>
        <w:pStyle w:val="Heading1"/>
      </w:pPr>
      <w:r>
        <w:t xml:space="preserve">8. APIs</w:t>
      </w:r>
    </w:p>
    <w:p>
      <w:pPr>
        <w:pStyle w:val="FirstParagraph"/>
      </w:pPr>
      <w:r>
        <w:t xml:space="preserve">There three APIs, each used for different purposes:</w:t>
      </w:r>
    </w:p>
    <w:p>
      <w:pPr>
        <w:numPr>
          <w:ilvl w:val="0"/>
          <w:numId w:val="1007"/>
        </w:numPr>
      </w:pPr>
      <w:hyperlink r:id="rId57">
        <w:r>
          <w:rPr>
            <w:rStyle w:val="Hyperlink"/>
            <w:b/>
            <w:bCs/>
          </w:rPr>
          <w:t xml:space="preserve">api</w:t>
        </w:r>
      </w:hyperlink>
      <w:r>
        <w:br/>
      </w:r>
      <w:r>
        <w:rPr>
          <w:i/>
          <w:iCs/>
        </w:rPr>
        <w:t xml:space="preserve">custom API: using R</w:t>
      </w:r>
      <w:r>
        <w:rPr>
          <w:i/>
          <w:iCs/>
        </w:rPr>
        <w:t xml:space="preserve"> </w:t>
      </w:r>
      <w:hyperlink r:id="rId58">
        <w:r>
          <w:rPr>
            <w:rStyle w:val="Hyperlink"/>
            <w:i/>
            <w:iCs/>
          </w:rPr>
          <w:t xml:space="preserve">plumber</w:t>
        </w:r>
      </w:hyperlink>
      <w:r>
        <w:br/>
      </w:r>
      <w:r>
        <w:t xml:space="preserve">source:</w:t>
      </w:r>
      <w:r>
        <w:t xml:space="preserve"> </w:t>
      </w:r>
      <w:hyperlink r:id="rId72">
        <w:r>
          <w:rPr>
            <w:rStyle w:val="Hyperlink"/>
          </w:rPr>
          <w:t xml:space="preserve">MarineSensitivity/api</w:t>
        </w:r>
      </w:hyperlink>
      <w:r>
        <w:br/>
      </w:r>
      <w:r>
        <w:br/>
      </w:r>
    </w:p>
    <w:p>
      <w:pPr>
        <w:numPr>
          <w:ilvl w:val="0"/>
          <w:numId w:val="1007"/>
        </w:numPr>
      </w:pPr>
      <w:hyperlink r:id="rId59">
        <w:r>
          <w:rPr>
            <w:rStyle w:val="Hyperlink"/>
            <w:b/>
            <w:bCs/>
          </w:rPr>
          <w:t xml:space="preserve">swagger</w:t>
        </w:r>
      </w:hyperlink>
      <w:r>
        <w:br/>
      </w:r>
      <w:r>
        <w:rPr>
          <w:i/>
          <w:iCs/>
        </w:rPr>
        <w:t xml:space="preserve">generic database API: using</w:t>
      </w:r>
      <w:r>
        <w:rPr>
          <w:i/>
          <w:iCs/>
        </w:rPr>
        <w:t xml:space="preserve"> </w:t>
      </w:r>
      <w:hyperlink r:id="rId60">
        <w:r>
          <w:rPr>
            <w:rStyle w:val="Hyperlink"/>
            <w:i/>
            <w:iCs/>
          </w:rPr>
          <w:t xml:space="preserve">PostGREST</w:t>
        </w:r>
      </w:hyperlink>
      <w:r>
        <w:br/>
      </w:r>
      <w:r>
        <w:t xml:space="preserve">source: Postgres database, non-spatial</w:t>
      </w:r>
      <w:r>
        <w:br/>
      </w:r>
      <w:r>
        <w:br/>
      </w:r>
    </w:p>
    <w:p>
      <w:pPr>
        <w:numPr>
          <w:ilvl w:val="0"/>
          <w:numId w:val="1007"/>
        </w:numPr>
      </w:pPr>
      <w:hyperlink r:id="rId61">
        <w:r>
          <w:rPr>
            <w:rStyle w:val="Hyperlink"/>
            <w:b/>
            <w:bCs/>
          </w:rPr>
          <w:t xml:space="preserve">tile</w:t>
        </w:r>
      </w:hyperlink>
      <w:r>
        <w:br/>
      </w:r>
      <w:r>
        <w:rPr>
          <w:i/>
          <w:iCs/>
        </w:rPr>
        <w:t xml:space="preserve">spatial database API: using</w:t>
      </w:r>
      <w:r>
        <w:rPr>
          <w:i/>
          <w:iCs/>
        </w:rPr>
        <w:t xml:space="preserve"> </w:t>
      </w:r>
      <w:hyperlink r:id="rId60">
        <w:r>
          <w:rPr>
            <w:rStyle w:val="Hyperlink"/>
            <w:i/>
            <w:iCs/>
          </w:rPr>
          <w:t xml:space="preserve">pg_tileserv</w:t>
        </w:r>
      </w:hyperlink>
      <w:r>
        <w:rPr>
          <w:i/>
          <w:iCs/>
        </w:rPr>
        <w:t xml:space="preserve"> </w:t>
      </w:r>
      <w:r>
        <w:rPr>
          <w:i/>
          <w:iCs/>
        </w:rPr>
        <w:t xml:space="preserve">for serving vector tiles</w:t>
      </w:r>
      <w:r>
        <w:br/>
      </w:r>
      <w:r>
        <w:t xml:space="preserve">source: Postgres database, spatial</w:t>
      </w:r>
      <w:r>
        <w:br/>
      </w:r>
      <w:r>
        <w:br/>
      </w:r>
    </w:p>
    <w:bookmarkEnd w:id="73"/>
    <w:bookmarkStart w:id="77" w:name="libraries"/>
    <w:p>
      <w:pPr>
        <w:pStyle w:val="Heading1"/>
      </w:pPr>
      <w:r>
        <w:t xml:space="preserve">9. Libraries</w:t>
      </w:r>
    </w:p>
    <w:p>
      <w:pPr>
        <w:pStyle w:val="FirstParagraph"/>
      </w:pPr>
      <w:r>
        <w:t xml:space="preserve">By creating an R package, we can document functions and make them easily available to other users.</w:t>
      </w:r>
    </w:p>
    <w:p>
      <w:pPr>
        <w:pStyle w:val="Compact"/>
        <w:numPr>
          <w:ilvl w:val="0"/>
          <w:numId w:val="1008"/>
        </w:numPr>
      </w:pPr>
      <w:hyperlink r:id="rId74">
        <w:r>
          <w:rPr>
            <w:rStyle w:val="VerbatimChar"/>
          </w:rPr>
          <w:t xml:space="preserve">msens</w:t>
        </w:r>
      </w:hyperlink>
      <w:r>
        <w:br/>
      </w:r>
      <w:r>
        <w:t xml:space="preserve">R library of functions for mapping marine sensitivities, sponsored by BOEM</w:t>
      </w:r>
    </w:p>
    <w:p>
      <w:pPr>
        <w:pStyle w:val="FirstParagraph"/>
      </w:pPr>
      <w:r>
        <w:t xml:space="preserve">Functions can</w:t>
      </w:r>
      <w:r>
        <w:t xml:space="preserve"> </w:t>
      </w:r>
      <w:r>
        <w:rPr>
          <w:b/>
          <w:bCs/>
          <w:i/>
          <w:iCs/>
        </w:rPr>
        <w:t xml:space="preserve">read</w:t>
      </w:r>
      <w:r>
        <w:t xml:space="preserve"> </w:t>
      </w:r>
      <w:r>
        <w:t xml:space="preserve">data from the one</w:t>
      </w:r>
      <w:r>
        <w:t xml:space="preserve"> </w:t>
      </w:r>
      <w:hyperlink r:id="rId75">
        <w:r>
          <w:rPr>
            <w:rStyle w:val="Hyperlink"/>
          </w:rPr>
          <w:t xml:space="preserve">APIs</w:t>
        </w:r>
      </w:hyperlink>
      <w:r>
        <w:t xml:space="preserve"> </w:t>
      </w:r>
      <w:r>
        <w:t xml:space="preserve">(which communicate with the</w:t>
      </w:r>
      <w:r>
        <w:t xml:space="preserve"> </w:t>
      </w:r>
      <w:hyperlink r:id="rId76">
        <w:r>
          <w:rPr>
            <w:rStyle w:val="Hyperlink"/>
          </w:rPr>
          <w:t xml:space="preserve">Database</w:t>
        </w:r>
      </w:hyperlink>
      <w:r>
        <w:t xml:space="preserve">),</w:t>
      </w:r>
      <w:r>
        <w:t xml:space="preserve"> </w:t>
      </w:r>
      <w:r>
        <w:rPr>
          <w:b/>
          <w:bCs/>
          <w:i/>
          <w:iCs/>
        </w:rPr>
        <w:t xml:space="preserve">analyze</w:t>
      </w:r>
      <w:r>
        <w:t xml:space="preserve"> </w:t>
      </w:r>
      <w:r>
        <w:t xml:space="preserve">the data,</w:t>
      </w:r>
      <w:r>
        <w:t xml:space="preserve"> </w:t>
      </w:r>
      <w:r>
        <w:rPr>
          <w:b/>
          <w:bCs/>
          <w:i/>
          <w:iCs/>
        </w:rPr>
        <w:t xml:space="preserve">visualize</w:t>
      </w:r>
      <w:r>
        <w:t xml:space="preserve"> </w:t>
      </w:r>
      <w:r>
        <w:t xml:space="preserve">the results and store some smaller</w:t>
      </w:r>
      <w:r>
        <w:t xml:space="preserve"> </w:t>
      </w:r>
      <w:r>
        <w:rPr>
          <w:b/>
          <w:bCs/>
          <w:i/>
          <w:iCs/>
        </w:rPr>
        <w:t xml:space="preserve">data</w:t>
      </w:r>
      <w:r>
        <w:t xml:space="preserve">.</w:t>
      </w:r>
    </w:p>
    <w:bookmarkEnd w:id="77"/>
    <w:bookmarkStart w:id="79" w:name="apps"/>
    <w:p>
      <w:pPr>
        <w:pStyle w:val="Heading1"/>
      </w:pPr>
      <w:r>
        <w:t xml:space="preserve">10. Apps</w:t>
      </w:r>
    </w:p>
    <w:bookmarkStart w:id="78" w:name="list-apps"/>
    <w:bookmarkEnd w:id="78"/>
    <w:bookmarkEnd w:id="79"/>
    <w:bookmarkStart w:id="81" w:name="docs"/>
    <w:p>
      <w:pPr>
        <w:pStyle w:val="Heading1"/>
      </w:pPr>
      <w:r>
        <w:t xml:space="preserve">11. Docs</w:t>
      </w:r>
    </w:p>
    <w:p>
      <w:pPr>
        <w:pStyle w:val="FirstParagraph"/>
      </w:pPr>
      <w:r>
        <w:t xml:space="preserve">Technical documentation is principally in this book:</w:t>
      </w:r>
    </w:p>
    <w:p>
      <w:pPr>
        <w:numPr>
          <w:ilvl w:val="0"/>
          <w:numId w:val="1009"/>
        </w:numPr>
      </w:pPr>
      <w:hyperlink r:id="rId69">
        <w:r>
          <w:rPr>
            <w:rStyle w:val="Hyperlink"/>
          </w:rPr>
          <w:t xml:space="preserve">marinesensitivity.org/docs</w:t>
        </w:r>
      </w:hyperlink>
      <w:r>
        <w:br/>
      </w:r>
      <w:r>
        <w:t xml:space="preserve">the main documentation site</w:t>
      </w:r>
    </w:p>
    <w:p>
      <w:pPr>
        <w:numPr>
          <w:ilvl w:val="0"/>
          <w:numId w:val="1009"/>
        </w:numPr>
      </w:pPr>
      <w:hyperlink r:id="rId70">
        <w:r>
          <w:rPr>
            <w:rStyle w:val="Hyperlink"/>
          </w:rPr>
          <w:t xml:space="preserve">github.com/MarineSensitivity/docs</w:t>
        </w:r>
      </w:hyperlink>
      <w:r>
        <w:br/>
      </w:r>
      <w:r>
        <w:t xml:space="preserve">source code in the Github repository</w:t>
      </w:r>
    </w:p>
    <w:p>
      <w:pPr>
        <w:pStyle w:val="FirstParagraph"/>
      </w:pPr>
      <w:r>
        <w:t xml:space="preserve">But there are also some other self-documenting resources:</w:t>
      </w:r>
    </w:p>
    <w:p>
      <w:pPr>
        <w:pStyle w:val="Compact"/>
        <w:numPr>
          <w:ilvl w:val="0"/>
          <w:numId w:val="1010"/>
        </w:numPr>
      </w:pPr>
      <w:hyperlink r:id="rId80">
        <w:r>
          <w:rPr>
            <w:rStyle w:val="Hyperlink"/>
          </w:rPr>
          <w:t xml:space="preserve">marinesensitivity.org/</w:t>
        </w:r>
        <w:r>
          <w:rPr>
            <w:rStyle w:val="VerbatimChar"/>
          </w:rPr>
          <w:t xml:space="preserve">msens</w:t>
        </w:r>
      </w:hyperlink>
      <w:r>
        <w:br/>
      </w:r>
      <w:r>
        <w:t xml:space="preserve">documented R functions</w:t>
      </w:r>
    </w:p>
    <w:bookmarkEnd w:id="81"/>
    <w:bookmarkStart w:id="82" w:name="summary"/>
    <w:p>
      <w:pPr>
        <w:pStyle w:val="Heading1"/>
      </w:pPr>
      <w:r>
        <w:t xml:space="preserve">12. Summary</w:t>
      </w:r>
    </w:p>
    <w:p>
      <w:pPr>
        <w:pStyle w:val="FirstParagraph"/>
      </w:pPr>
      <w:r>
        <w:t xml:space="preserve">…</w:t>
      </w:r>
    </w:p>
    <w:bookmarkEnd w:id="82"/>
    <w:bookmarkStart w:id="95" w:name="references"/>
    <w:p>
      <w:pPr>
        <w:pStyle w:val="Heading1"/>
      </w:pPr>
      <w:r>
        <w:t xml:space="preserve">References</w:t>
      </w:r>
    </w:p>
    <w:bookmarkStart w:id="94" w:name="refs"/>
    <w:bookmarkStart w:id="84" w:name="ref-boyce2022"/>
    <w:p>
      <w:pPr>
        <w:pStyle w:val="Bibliography"/>
      </w:pPr>
      <w:r>
        <w:t xml:space="preserve">Boyce, Daniel G., Derek P. Tittensor, Cristina Garilao, Stephanie Henson, Kristin Kaschner, Kathleen Kesner-Reyes, Alex Pigot, et al. 2022.</w:t>
      </w:r>
      <w:r>
        <w:t xml:space="preserve"> </w:t>
      </w:r>
      <w:r>
        <w:t xml:space="preserve">“A Climate Risk Index for Marine Life.”</w:t>
      </w:r>
      <w:r>
        <w:t xml:space="preserve"> </w:t>
      </w:r>
      <w:r>
        <w:rPr>
          <w:i/>
          <w:iCs/>
        </w:rPr>
        <w:t xml:space="preserve">Nature Climate Change</w:t>
      </w:r>
      <w:r>
        <w:t xml:space="preserve"> </w:t>
      </w:r>
      <w:r>
        <w:t xml:space="preserve">12 (9): 854–62.</w:t>
      </w:r>
      <w:r>
        <w:t xml:space="preserve"> </w:t>
      </w:r>
      <w:hyperlink r:id="rId83">
        <w:r>
          <w:rPr>
            <w:rStyle w:val="Hyperlink"/>
          </w:rPr>
          <w:t xml:space="preserve">https://doi.org/10.1038/s41558-022-01437-y</w:t>
        </w:r>
      </w:hyperlink>
      <w:r>
        <w:t xml:space="preserve">.</w:t>
      </w:r>
    </w:p>
    <w:bookmarkEnd w:id="84"/>
    <w:bookmarkStart w:id="86" w:name="ref-goodale2016"/>
    <w:p>
      <w:pPr>
        <w:pStyle w:val="Bibliography"/>
      </w:pPr>
      <w:r>
        <w:t xml:space="preserve">Goodale, M. Wing, and Anita Milman. 2016.</w:t>
      </w:r>
      <w:r>
        <w:t xml:space="preserve"> </w:t>
      </w:r>
      <w:r>
        <w:t xml:space="preserve">“Cumulative Adverse Effects of Offshore Wind Energy Development on Wildlife.”</w:t>
      </w:r>
      <w:r>
        <w:t xml:space="preserve"> </w:t>
      </w:r>
      <w:r>
        <w:rPr>
          <w:i/>
          <w:iCs/>
        </w:rPr>
        <w:t xml:space="preserve">Journal of Environmental Planning and Management</w:t>
      </w:r>
      <w:r>
        <w:t xml:space="preserve"> </w:t>
      </w:r>
      <w:r>
        <w:t xml:space="preserve">0 (0): 1–21.</w:t>
      </w:r>
      <w:r>
        <w:t xml:space="preserve"> </w:t>
      </w:r>
      <w:hyperlink r:id="rId85">
        <w:r>
          <w:rPr>
            <w:rStyle w:val="Hyperlink"/>
          </w:rPr>
          <w:t xml:space="preserve">https://doi.org/10.1080/09640568.2014.973483</w:t>
        </w:r>
      </w:hyperlink>
      <w:r>
        <w:t xml:space="preserve">.</w:t>
      </w:r>
    </w:p>
    <w:bookmarkEnd w:id="86"/>
    <w:bookmarkStart w:id="88" w:name="ref-jones2018"/>
    <w:p>
      <w:pPr>
        <w:pStyle w:val="Bibliography"/>
      </w:pPr>
      <w:r>
        <w:t xml:space="preserve">Jones, Miranda C., and William W. L. Cheung. 2018.</w:t>
      </w:r>
      <w:r>
        <w:t xml:space="preserve"> </w:t>
      </w:r>
      <w:r>
        <w:t xml:space="preserve">“Using Fuzzy Logic to Determine the Vulnerability of Marine Species to Climate Change.”</w:t>
      </w:r>
      <w:r>
        <w:t xml:space="preserve"> </w:t>
      </w:r>
      <w:r>
        <w:rPr>
          <w:i/>
          <w:iCs/>
        </w:rPr>
        <w:t xml:space="preserve">Global Change Biology</w:t>
      </w:r>
      <w:r>
        <w:t xml:space="preserve"> </w:t>
      </w:r>
      <w:r>
        <w:t xml:space="preserve">24 (2): e719–31.</w:t>
      </w:r>
      <w:r>
        <w:t xml:space="preserve"> </w:t>
      </w:r>
      <w:hyperlink r:id="rId87">
        <w:r>
          <w:rPr>
            <w:rStyle w:val="Hyperlink"/>
          </w:rPr>
          <w:t xml:space="preserve">https://doi.org/10.1111/gcb.13869</w:t>
        </w:r>
      </w:hyperlink>
      <w:r>
        <w:t xml:space="preserve">.</w:t>
      </w:r>
    </w:p>
    <w:bookmarkEnd w:id="88"/>
    <w:bookmarkStart w:id="89" w:name="ref-ross2023"/>
    <w:p>
      <w:pPr>
        <w:pStyle w:val="Bibliography"/>
      </w:pPr>
      <w:r>
        <w:t xml:space="preserve">Ross, Pauline M., Elliot Scanes, Maria Byrne, Tracy D. Ainsworth, Jennifer M. Donelson, Shawna A. Foo, Pat Hutchings, Vengatesen Thiyagarajan, and Laura M. Parker. 2023.</w:t>
      </w:r>
      <w:r>
        <w:t xml:space="preserve"> </w:t>
      </w:r>
      <w:r>
        <w:t xml:space="preserve">“Surviving the Anthropocene: The Resilience of Marine Animals to Climate Change.”</w:t>
      </w:r>
      <w:r>
        <w:t xml:space="preserve"> </w:t>
      </w:r>
      <w:r>
        <w:t xml:space="preserve">In. CRC Press.</w:t>
      </w:r>
    </w:p>
    <w:bookmarkEnd w:id="89"/>
    <w:bookmarkStart w:id="91" w:name="ref-weis2016"/>
    <w:p>
      <w:pPr>
        <w:pStyle w:val="Bibliography"/>
      </w:pPr>
      <w:r>
        <w:t xml:space="preserve">Weis, Shawn W. Margles, Vera N. Agostini, Lynnette M. Roth, Ben Gilmer, Steven R. Schill, John English Knowles, and Ruth Blyther. 2016.</w:t>
      </w:r>
      <w:r>
        <w:t xml:space="preserve"> </w:t>
      </w:r>
      <w:r>
        <w:t xml:space="preserve">“Assessing Vulnerability: An Integrated Approach for Mapping Adaptive Capacity, Sensitivity, and Exposure.”</w:t>
      </w:r>
      <w:r>
        <w:t xml:space="preserve"> </w:t>
      </w:r>
      <w:r>
        <w:rPr>
          <w:i/>
          <w:iCs/>
        </w:rPr>
        <w:t xml:space="preserve">Climatic Change</w:t>
      </w:r>
      <w:r>
        <w:t xml:space="preserve"> </w:t>
      </w:r>
      <w:r>
        <w:t xml:space="preserve">136 (3-4): 615–29.</w:t>
      </w:r>
      <w:r>
        <w:t xml:space="preserve"> </w:t>
      </w:r>
      <w:hyperlink r:id="rId90">
        <w:r>
          <w:rPr>
            <w:rStyle w:val="Hyperlink"/>
          </w:rPr>
          <w:t xml:space="preserve">https://doi.org/10.1007/s10584-016-1642-0</w:t>
        </w:r>
      </w:hyperlink>
      <w:r>
        <w:t xml:space="preserve">.</w:t>
      </w:r>
    </w:p>
    <w:bookmarkEnd w:id="91"/>
    <w:bookmarkStart w:id="93" w:name="ref-zacharias2005"/>
    <w:p>
      <w:pPr>
        <w:pStyle w:val="Bibliography"/>
      </w:pPr>
      <w:r>
        <w:t xml:space="preserve">Zacharias, Mark A., and Edward J. Gregr. 2005.</w:t>
      </w:r>
      <w:r>
        <w:t xml:space="preserve"> </w:t>
      </w:r>
      <w:r>
        <w:t xml:space="preserve">“Sensitivity and Vulnerability in Marine Environments: An Approach to Identifying Vulnerable Marine Areas.”</w:t>
      </w:r>
      <w:r>
        <w:t xml:space="preserve"> </w:t>
      </w:r>
      <w:r>
        <w:rPr>
          <w:i/>
          <w:iCs/>
        </w:rPr>
        <w:t xml:space="preserve">Conservation Biology</w:t>
      </w:r>
      <w:r>
        <w:t xml:space="preserve"> </w:t>
      </w:r>
      <w:r>
        <w:t xml:space="preserve">19 (1): 86–97.</w:t>
      </w:r>
      <w:r>
        <w:t xml:space="preserve"> </w:t>
      </w:r>
      <w:hyperlink r:id="rId92">
        <w:r>
          <w:rPr>
            <w:rStyle w:val="Hyperlink"/>
          </w:rPr>
          <w:t xml:space="preserve">https://doi.org/10.1111/j.1523-1739.2005.00148.x</w:t>
        </w:r>
      </w:hyperlink>
      <w:r>
        <w:t xml:space="preserve">.</w:t>
      </w:r>
    </w:p>
    <w:bookmarkEnd w:id="93"/>
    <w:bookmarkEnd w:id="94"/>
    <w:bookmarkEnd w:id="95"/>
    <w:bookmarkStart w:id="114" w:name="glossary"/>
    <w:p>
      <w:pPr>
        <w:pStyle w:val="Heading1"/>
      </w:pPr>
      <w:r>
        <w:t xml:space="preserve">Glossary</w:t>
      </w:r>
    </w:p>
    <w:tbl>
      <w:tblPr>
        <w:tblStyle w:val="Table"/>
        <w:tblW w:type="pct" w:w="5000"/>
        <w:tblLayout w:type="fixed"/>
        <w:tblLook w:firstRow="1" w:lastRow="0" w:firstColumn="0" w:lastColumn="0" w:noHBand="0" w:noVBand="0" w:val="0020"/>
      </w:tblPr>
      <w:tblGrid>
        <w:gridCol w:w="355"/>
        <w:gridCol w:w="7564"/>
      </w:tblGrid>
      <w:tr>
        <w:trPr>
          <w:tblHeader w:val="on"/>
        </w:trPr>
        <w:tc>
          <w:tcPr/>
          <w:p>
            <w:pPr>
              <w:pStyle w:val="Compact"/>
              <w:jc w:val="left"/>
            </w:pPr>
            <w:r>
              <w:t xml:space="preserve">term</w:t>
            </w:r>
          </w:p>
        </w:tc>
        <w:tc>
          <w:tcPr/>
          <w:p>
            <w:pPr>
              <w:pStyle w:val="Compact"/>
              <w:jc w:val="left"/>
            </w:pPr>
            <w:r>
              <w:t xml:space="preserve">definition</w:t>
            </w:r>
          </w:p>
        </w:tc>
      </w:tr>
      <w:tr>
        <w:tc>
          <w:tcPr/>
          <w:p>
            <w:pPr>
              <w:pStyle w:val="Compact"/>
              <w:jc w:val="left"/>
            </w:pPr>
            <w:r>
              <w:t xml:space="preserve">acclimation</w:t>
            </w:r>
          </w:p>
        </w:tc>
        <w:tc>
          <w:tcPr/>
          <w:p>
            <w:pPr>
              <w:pStyle w:val="Compact"/>
              <w:jc w:val="left"/>
            </w:pPr>
            <w:r>
              <w:t xml:space="preserve">The adjustment of an organism to experimental conditions in the laboratory without an adjustment in their genetics. Acclimation has been used to describe phenotypically plastic responses of organisms generated under controlled laboratory and experimental manipulations when the factor of interest can be isolated.</w:t>
            </w:r>
          </w:p>
        </w:tc>
      </w:tr>
      <w:tr>
        <w:tc>
          <w:tcPr/>
          <w:p>
            <w:pPr>
              <w:pStyle w:val="Compact"/>
              <w:jc w:val="left"/>
            </w:pPr>
            <w:r>
              <w:t xml:space="preserve">Acclimation</w:t>
            </w:r>
          </w:p>
        </w:tc>
        <w:tc>
          <w:tcPr/>
          <w:p>
            <w:pPr>
              <w:pStyle w:val="Compact"/>
              <w:jc w:val="left"/>
            </w:pPr>
            <w:r>
              <w:t xml:space="preserve">The adjustment of an organism to experimental conditions in the laboratory without an adjustment in their genetics. Acclimation has been used to describe phenotypically plastic responses of organisms generated under controlled laboratory and experimental manipulations when the factor of interest can be isolated. Source: Ross et al. (2023)</w:t>
            </w:r>
          </w:p>
        </w:tc>
      </w:tr>
      <w:tr>
        <w:tc>
          <w:tcPr/>
          <w:p>
            <w:pPr>
              <w:pStyle w:val="Compact"/>
              <w:jc w:val="left"/>
            </w:pPr>
            <w:r>
              <w:t xml:space="preserve">Acclimatisation</w:t>
            </w:r>
          </w:p>
        </w:tc>
        <w:tc>
          <w:tcPr/>
          <w:p>
            <w:pPr>
              <w:pStyle w:val="Compact"/>
              <w:jc w:val="left"/>
            </w:pPr>
            <w:r>
              <w:t xml:space="preserve">The adjustment of an organism to environmental conditions in the field or environment rather than the laboratory without an adjustment in their genetics. Acclimatisation has been used to describe phenotypically plastic responses in natural conditions. Source: Ross et al. (2023)</w:t>
            </w:r>
          </w:p>
        </w:tc>
      </w:tr>
      <w:tr>
        <w:tc>
          <w:tcPr/>
          <w:p>
            <w:pPr>
              <w:pStyle w:val="Compact"/>
              <w:jc w:val="left"/>
            </w:pPr>
            <w:r>
              <w:t xml:space="preserve">adaptation</w:t>
            </w:r>
          </w:p>
        </w:tc>
        <w:tc>
          <w:tcPr/>
          <w:p>
            <w:pPr>
              <w:pStyle w:val="Compact"/>
              <w:jc w:val="left"/>
            </w:pPr>
            <w:r>
              <w:t xml:space="preserve">the ability to change in response to the change</w:t>
            </w:r>
          </w:p>
        </w:tc>
      </w:tr>
      <w:tr>
        <w:tc>
          <w:tcPr/>
          <w:p>
            <w:pPr>
              <w:pStyle w:val="Compact"/>
              <w:jc w:val="left"/>
            </w:pPr>
            <w:r>
              <w:t xml:space="preserve">Adaptation</w:t>
            </w:r>
          </w:p>
        </w:tc>
        <w:tc>
          <w:tcPr/>
          <w:p>
            <w:pPr>
              <w:pStyle w:val="Compact"/>
              <w:jc w:val="left"/>
            </w:pPr>
            <w:r>
              <w:t xml:space="preserve">The evolutionary mechanism where natural selection of traits is genetically passed on, typically over many generations, to create an organism suited to the environment. Source: Ross et al. (2023)</w:t>
            </w:r>
          </w:p>
        </w:tc>
      </w:tr>
      <w:tr>
        <w:tc>
          <w:tcPr/>
          <w:p>
            <w:pPr>
              <w:pStyle w:val="Compact"/>
              <w:jc w:val="left"/>
            </w:pPr>
            <w:r>
              <w:t xml:space="preserve">Adaptive capacity</w:t>
            </w:r>
          </w:p>
        </w:tc>
        <w:tc>
          <w:tcPr/>
          <w:p>
            <w:pPr>
              <w:pStyle w:val="Compact"/>
              <w:jc w:val="left"/>
            </w:pPr>
            <w:r>
              <w:t xml:space="preserve">The capacity of the ecosystem or organism to improve and reorganise in response to stress such as climate change through phenotypic plasticity (acclimation, acclimatisation) or adaptation, distributional shifts, and rapid evolution of traits suited to new conditions. Source: Ross et al. (2023)</w:t>
            </w:r>
          </w:p>
        </w:tc>
      </w:tr>
      <w:tr>
        <w:tc>
          <w:tcPr/>
          <w:p>
            <w:pPr>
              <w:pStyle w:val="Compact"/>
              <w:jc w:val="left"/>
            </w:pPr>
            <w:r>
              <w:t xml:space="preserve">Epigenetics</w:t>
            </w:r>
          </w:p>
        </w:tc>
        <w:tc>
          <w:tcPr/>
          <w:p>
            <w:pPr>
              <w:pStyle w:val="Compact"/>
              <w:jc w:val="left"/>
            </w:pPr>
            <w:r>
              <w:t xml:space="preserve">The modification of phenotype plasticity of an organism through altered gene expression without an alteration to the DNA sequence.</w:t>
            </w:r>
            <w:r>
              <w:t xml:space="preserve"> </w:t>
            </w:r>
            <w:r>
              <w:t xml:space="preserve">‘</w:t>
            </w:r>
            <w:r>
              <w:t xml:space="preserve">Epi</w:t>
            </w:r>
            <w:r>
              <w:t xml:space="preserve">’</w:t>
            </w:r>
            <w:r>
              <w:t xml:space="preserve"> </w:t>
            </w:r>
            <w:r>
              <w:t xml:space="preserve">means above the DNA and includes DNA methylation, modification of histones, and non-coding RNA. Source: Ross et al. (2023)</w:t>
            </w:r>
          </w:p>
        </w:tc>
      </w:tr>
      <w:tr>
        <w:tc>
          <w:tcPr/>
          <w:p>
            <w:pPr>
              <w:pStyle w:val="Compact"/>
              <w:jc w:val="left"/>
            </w:pPr>
            <w:r>
              <w:t xml:space="preserve">exposure</w:t>
            </w:r>
          </w:p>
        </w:tc>
        <w:tc>
          <w:tcPr/>
          <w:p>
            <w:pPr>
              <w:pStyle w:val="Compact"/>
              <w:jc w:val="left"/>
            </w:pPr>
            <w:r>
              <w:t xml:space="preserve">the magnitude of the change in the environment</w:t>
            </w:r>
          </w:p>
        </w:tc>
      </w:tr>
      <w:tr>
        <w:tc>
          <w:tcPr/>
          <w:p>
            <w:pPr>
              <w:pStyle w:val="Compact"/>
              <w:jc w:val="left"/>
            </w:pPr>
            <w:r>
              <w:t xml:space="preserve">Exposure</w:t>
            </w:r>
          </w:p>
        </w:tc>
        <w:tc>
          <w:tcPr/>
          <w:p>
            <w:pPr>
              <w:pStyle w:val="Compact"/>
              <w:jc w:val="left"/>
            </w:pPr>
            <w:r>
              <w:t xml:space="preserve">The magnitude of the change in the environment</w:t>
            </w:r>
          </w:p>
        </w:tc>
      </w:tr>
      <w:tr>
        <w:tc>
          <w:tcPr/>
          <w:p>
            <w:pPr>
              <w:pStyle w:val="Compact"/>
              <w:jc w:val="left"/>
            </w:pPr>
            <w:r>
              <w:t xml:space="preserve">Fecundity</w:t>
            </w:r>
          </w:p>
        </w:tc>
        <w:tc>
          <w:tcPr/>
          <w:p>
            <w:pPr>
              <w:pStyle w:val="Compact"/>
              <w:jc w:val="left"/>
            </w:pPr>
            <w:r>
              <w:t xml:space="preserve">The maximum physiological potential reproductive output of an organism to produce offspring (reproductive output). This differs from fertility, which is the number of offspring born. Source: Ross et al. (2023)</w:t>
            </w:r>
          </w:p>
        </w:tc>
      </w:tr>
      <w:tr>
        <w:tc>
          <w:tcPr/>
          <w:p>
            <w:pPr>
              <w:pStyle w:val="Compact"/>
              <w:jc w:val="left"/>
            </w:pPr>
            <w:r>
              <w:t xml:space="preserve">MBON</w:t>
            </w:r>
          </w:p>
        </w:tc>
        <w:tc>
          <w:tcPr/>
          <w:p>
            <w:pPr>
              <w:pStyle w:val="Compact"/>
              <w:jc w:val="left"/>
            </w:pPr>
            <w:r>
              <w:t xml:space="preserve">Marine Biodiversity Observation Network; see</w:t>
            </w:r>
            <w:r>
              <w:t xml:space="preserve"> </w:t>
            </w:r>
            <w:hyperlink r:id="rId96">
              <w:r>
                <w:rPr>
                  <w:rStyle w:val="Hyperlink"/>
                </w:rPr>
                <w:t xml:space="preserve">MarineBON.org</w:t>
              </w:r>
            </w:hyperlink>
          </w:p>
        </w:tc>
      </w:tr>
      <w:tr>
        <w:tc>
          <w:tcPr/>
          <w:p>
            <w:pPr>
              <w:pStyle w:val="Compact"/>
              <w:jc w:val="left"/>
            </w:pPr>
            <w:r>
              <w:t xml:space="preserve">resilience</w:t>
            </w:r>
          </w:p>
        </w:tc>
        <w:tc>
          <w:tcPr/>
          <w:p>
            <w:pPr>
              <w:pStyle w:val="Compact"/>
              <w:jc w:val="left"/>
            </w:pPr>
            <w:r>
              <w:t xml:space="preserve">the ability to recover from the change</w:t>
            </w:r>
          </w:p>
        </w:tc>
      </w:tr>
      <w:tr>
        <w:tc>
          <w:tcPr/>
          <w:p>
            <w:pPr>
              <w:pStyle w:val="Compact"/>
              <w:jc w:val="left"/>
            </w:pPr>
            <w:r>
              <w:t xml:space="preserve">Resilience</w:t>
            </w:r>
          </w:p>
        </w:tc>
        <w:tc>
          <w:tcPr/>
          <w:p>
            <w:pPr>
              <w:pStyle w:val="Compact"/>
              <w:jc w:val="left"/>
            </w:pPr>
            <w:r>
              <w:t xml:space="preserve">The capacity of an ecosystem, society, or organism to absorb disturbance and reorganise while undergoing change so as to retain essentially the same function, structure, identity, and feedbacks. Resilience reflects the degree to which a complex adaptive system is determined by its capacity to reorganise and adapt in order to avoid being disturbed again. Source: Ross et al. (2023)</w:t>
            </w:r>
          </w:p>
        </w:tc>
      </w:tr>
      <w:tr>
        <w:tc>
          <w:tcPr/>
          <w:p>
            <w:pPr>
              <w:pStyle w:val="Compact"/>
              <w:jc w:val="left"/>
            </w:pPr>
            <w:r>
              <w:t xml:space="preserve">sensitivity</w:t>
            </w:r>
          </w:p>
        </w:tc>
        <w:tc>
          <w:tcPr/>
          <w:p>
            <w:pPr>
              <w:pStyle w:val="Compact"/>
              <w:jc w:val="left"/>
            </w:pPr>
            <w:r>
              <w:t xml:space="preserve">the magnitude of response to the change</w:t>
            </w:r>
          </w:p>
        </w:tc>
      </w:tr>
      <w:tr>
        <w:tc>
          <w:tcPr/>
          <w:p>
            <w:pPr>
              <w:pStyle w:val="Compact"/>
              <w:jc w:val="left"/>
            </w:pPr>
            <w:r>
              <w:t xml:space="preserve">Sensitivity</w:t>
            </w:r>
          </w:p>
        </w:tc>
        <w:tc>
          <w:tcPr/>
          <w:p>
            <w:pPr>
              <w:pStyle w:val="Compact"/>
              <w:jc w:val="left"/>
            </w:pPr>
            <w:r>
              <w:t xml:space="preserve">The magnitude of response to the change</w:t>
            </w:r>
          </w:p>
        </w:tc>
      </w:tr>
      <w:tr>
        <w:tc>
          <w:tcPr/>
          <w:p>
            <w:pPr>
              <w:pStyle w:val="Compact"/>
              <w:jc w:val="left"/>
            </w:pPr>
            <w:r>
              <w:t xml:space="preserve">stressor</w:t>
            </w:r>
          </w:p>
        </w:tc>
        <w:tc>
          <w:tcPr/>
          <w:p>
            <w:pPr>
              <w:pStyle w:val="Compact"/>
              <w:jc w:val="left"/>
            </w:pPr>
            <w:r>
              <w:t xml:space="preserve">the stimulus that causes stress to an organism</w:t>
            </w:r>
          </w:p>
        </w:tc>
      </w:tr>
      <w:tr>
        <w:tc>
          <w:tcPr/>
          <w:p>
            <w:pPr>
              <w:pStyle w:val="Compact"/>
              <w:jc w:val="left"/>
            </w:pPr>
            <w:r>
              <w:t xml:space="preserve">Stressor</w:t>
            </w:r>
          </w:p>
        </w:tc>
        <w:tc>
          <w:tcPr/>
          <w:p>
            <w:pPr>
              <w:pStyle w:val="Compact"/>
              <w:jc w:val="left"/>
            </w:pPr>
            <w:r>
              <w:t xml:space="preserve">The stimulus that causes stress to an organism</w:t>
            </w:r>
          </w:p>
        </w:tc>
      </w:tr>
      <w:tr>
        <w:tc>
          <w:tcPr/>
          <w:p>
            <w:pPr>
              <w:pStyle w:val="Compact"/>
              <w:jc w:val="left"/>
            </w:pPr>
            <w:r>
              <w:t xml:space="preserve">vulnerability</w:t>
            </w:r>
          </w:p>
        </w:tc>
        <w:tc>
          <w:tcPr/>
          <w:p>
            <w:pPr>
              <w:pStyle w:val="Compact"/>
              <w:jc w:val="left"/>
            </w:pPr>
            <w:r>
              <w:t xml:space="preserve">combination of exposure and sensitivity</w:t>
            </w:r>
          </w:p>
        </w:tc>
      </w:tr>
      <w:tr>
        <w:tc>
          <w:tcPr/>
          <w:p>
            <w:pPr>
              <w:pStyle w:val="Compact"/>
              <w:jc w:val="left"/>
            </w:pPr>
            <w:r>
              <w:t xml:space="preserve">Vulnerability</w:t>
            </w:r>
          </w:p>
        </w:tc>
        <w:tc>
          <w:tcPr/>
          <w:p>
            <w:pPr>
              <w:pStyle w:val="Compact"/>
              <w:jc w:val="left"/>
            </w:pPr>
            <w:r>
              <w:t xml:space="preserve">combination of exposure and sensitivity</w:t>
            </w:r>
          </w:p>
        </w:tc>
      </w:tr>
    </w:tbl>
    <w:bookmarkStart w:id="97" w:name="ross2023"/>
    <w:p>
      <w:pPr>
        <w:pStyle w:val="Heading2"/>
      </w:pPr>
      <w:r>
        <w:t xml:space="preserve">(Ross et al. 2023)</w:t>
      </w:r>
    </w:p>
    <w:p>
      <w:pPr>
        <w:pStyle w:val="FirstParagraph"/>
      </w:pPr>
      <w:r>
        <w:t xml:space="preserve">Glossary.</w:t>
      </w:r>
    </w:p>
    <w:bookmarkEnd w:id="97"/>
    <w:bookmarkStart w:id="98" w:name="weis2016"/>
    <w:p>
      <w:pPr>
        <w:pStyle w:val="Heading2"/>
      </w:pPr>
      <w:r>
        <w:t xml:space="preserve">(Weis et al. 2016)</w:t>
      </w:r>
    </w:p>
    <w:p>
      <w:pPr>
        <w:pStyle w:val="FirstParagraph"/>
      </w:pPr>
      <m:oMathPara>
        <m:oMathParaPr>
          <m:jc m:val="center"/>
        </m:oMathParaPr>
        <m:oMath>
          <m:r>
            <m:t>V</m:t>
          </m:r>
          <m:r>
            <m:rPr>
              <m:sty m:val="p"/>
            </m:rPr>
            <m:t>=</m:t>
          </m:r>
          <m:r>
            <m:t>f</m:t>
          </m:r>
          <m:d>
            <m:dPr>
              <m:begChr m:val="("/>
              <m:endChr m:val=")"/>
              <m:sepChr m:val=""/>
              <m:grow/>
            </m:dPr>
            <m:e>
              <m:r>
                <m:t>E</m:t>
              </m:r>
              <m:r>
                <m:rPr>
                  <m:sty m:val="p"/>
                </m:rPr>
                <m:t>,</m:t>
              </m:r>
              <m:r>
                <m:t>S</m:t>
              </m:r>
              <m:r>
                <m:rPr>
                  <m:sty m:val="p"/>
                </m:rPr>
                <m:t>,</m:t>
              </m:r>
              <m:r>
                <m:t>A</m:t>
              </m:r>
            </m:e>
          </m:d>
        </m:oMath>
      </m:oMathPara>
    </w:p>
    <w:p>
      <w:pPr>
        <w:pStyle w:val="FirstParagraph"/>
      </w:pPr>
      <w:r>
        <w:t xml:space="preserve">Vulnerability (</w:t>
      </w:r>
      <m:oMath>
        <m:r>
          <m:t>V</m:t>
        </m:r>
      </m:oMath>
      <w:r>
        <w:t xml:space="preserve">) is a function of exposure (</w:t>
      </w:r>
      <m:oMath>
        <m:r>
          <m:t>E</m:t>
        </m:r>
      </m:oMath>
      <w:r>
        <w:t xml:space="preserve">), sensitivity (</w:t>
      </w:r>
      <m:oMath>
        <m:r>
          <m:t>S</m:t>
        </m:r>
      </m:oMath>
      <w:r>
        <w:t xml:space="preserve">) and adaptive capacity (</w:t>
      </w:r>
      <m:oMath>
        <m:r>
          <m:t>A</m:t>
        </m:r>
      </m:oMath>
      <w:r>
        <w:t xml:space="preserve">).</w:t>
      </w:r>
    </w:p>
    <w:bookmarkEnd w:id="98"/>
    <w:bookmarkStart w:id="103" w:name="jones2018"/>
    <w:p>
      <w:pPr>
        <w:pStyle w:val="Heading2"/>
      </w:pPr>
      <w:r>
        <w:t xml:space="preserve">(Jones and Cheung 2018)</w:t>
      </w:r>
    </w:p>
    <w:p>
      <w:pPr>
        <w:pStyle w:val="FirstParagraph"/>
      </w:pPr>
      <w:r>
        <w:t xml:space="preserve">Such vulnerability assessments recognize that a species’ vulnerability to climate change depends on an interaction between its intrinsic biological or ecological characteristics (sensitivity and adaptive capacity) and the extrinsic threats or stimuli (exposure and hazard) (</w:t>
      </w:r>
      <w:hyperlink w:anchor="fig-ipcc-risk">
        <w:r>
          <w:rPr>
            <w:rStyle w:val="Hyperlink"/>
          </w:rPr>
          <w:t xml:space="preserve">Figure 12.1</w:t>
        </w:r>
      </w:hyperlink>
      <w:r>
        <w:t xml:space="preserve">). In this study, we adopted the climate vulnerability and risk assessment framework used by the fifth assessment report of the Intergovernmental Panel on Climate Change (IPCC) (Field et al. (2014).</w:t>
      </w:r>
      <w:r>
        <w:br/>
      </w:r>
      <w:r>
        <w:rPr>
          <w:b/>
          <w:bCs/>
        </w:rPr>
        <w:t xml:space="preserve">Sensitivity</w:t>
      </w:r>
      <w:r>
        <w:t xml:space="preserve"> </w:t>
      </w:r>
      <w:r>
        <w:t xml:space="preserve">of a species, referred to here as the susceptibility to impacts from climate change, is affected by species’ biological and ecological traits. Species’ sensitivity may be moderated by their</w:t>
      </w:r>
      <w:r>
        <w:br/>
      </w:r>
      <w:r>
        <w:rPr>
          <w:b/>
          <w:bCs/>
        </w:rPr>
        <w:t xml:space="preserve">adaptive capacity</w:t>
      </w:r>
      <w:r>
        <w:t xml:space="preserve">, which reflects a species’ ability to adapt and thus cope with, or avoid, the impacts of climate change.</w:t>
      </w:r>
      <w:r>
        <w:br/>
      </w:r>
      <w:r>
        <w:t xml:space="preserve">As the unit of assessment is an individual species, we consider a species’ ability to shift in distribution to avoid or minimize negative impacts from changing habitat conditions on its viability as an adaptive response to climate change. Specifically, in this study, we focus on characteristics that determine a species ability to show this response, within its current distribution. Thus, the spatial response of a distribution shift may itself be influenced by adaptive characteristics included here. The combination of a species’ sensitivity and (lack of) adaptive capacity determines its vulnerability to climate change. Ultimately, the risk of impacts of climate change on the species is determined by its vulnerability as well as the potential occurrence of climate-related ocean changes (i.e., hazards such as warming, ocean acidification) and the degree of exposure to such event (i.e., exposure) (</w:t>
      </w:r>
      <w:hyperlink w:anchor="fig-ipcc-risk">
        <w:r>
          <w:rPr>
            <w:rStyle w:val="Hyperlink"/>
          </w:rPr>
          <w:t xml:space="preserve">Figure 12.1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02" w:name="fig-ipcc-risk"/>
          <w:p>
            <w:pPr>
              <w:pStyle w:val="Compact"/>
              <w:jc w:val="center"/>
            </w:pPr>
            <w:r>
              <w:drawing>
                <wp:inline>
                  <wp:extent cx="3014924" cy="1641035"/>
                  <wp:effectExtent b="0" l="0" r="0" t="0"/>
                  <wp:docPr descr="" title="" id="100" name="Picture"/>
                  <a:graphic>
                    <a:graphicData uri="http://schemas.openxmlformats.org/drawingml/2006/picture">
                      <pic:pic>
                        <pic:nvPicPr>
                          <pic:cNvPr descr="figures/jones2018_ipcc-risk.jpg" id="101" name="Picture"/>
                          <pic:cNvPicPr>
                            <a:picLocks noChangeArrowheads="1" noChangeAspect="1"/>
                          </pic:cNvPicPr>
                        </pic:nvPicPr>
                        <pic:blipFill>
                          <a:blip r:embed="rId99"/>
                          <a:stretch>
                            <a:fillRect/>
                          </a:stretch>
                        </pic:blipFill>
                        <pic:spPr bwMode="auto">
                          <a:xfrm>
                            <a:off x="0" y="0"/>
                            <a:ext cx="3014924" cy="16410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12.1: Framework for assessing climate change vulnerability and risk adopted by the fifth assessment report of the IPCC (Field et al., 2014)</w:t>
            </w:r>
          </w:p>
          <w:bookmarkEnd w:id="102"/>
        </w:tc>
      </w:tr>
    </w:tbl>
    <w:bookmarkEnd w:id="103"/>
    <w:bookmarkStart w:id="108" w:name="zacharias2005"/>
    <w:p>
      <w:pPr>
        <w:pStyle w:val="Heading2"/>
      </w:pPr>
      <w:r>
        <w:t xml:space="preserve">(Zacharias and Gregr 2005)</w:t>
      </w:r>
    </w:p>
    <w:bookmarkStart w:id="107" w:name="X780b7a46c9fbb63fbee28383fc4ccdd88b76366"/>
    <w:p>
      <w:pPr>
        <w:pStyle w:val="Heading3"/>
      </w:pPr>
      <w:r>
        <w:rPr>
          <w:b/>
          <w:bCs/>
        </w:rPr>
        <w:t xml:space="preserve">Definitions of Sensitivity and Vulnerability</w:t>
      </w:r>
    </w:p>
    <w:p>
      <w:pPr>
        <w:pStyle w:val="FirstParagraph"/>
      </w:pPr>
      <w:r>
        <w:t xml:space="preserve">Sensitivity and vulnerability are central concepts in the protection of marine ecosystems, yet the marine literature provides few explicit definitions (</w:t>
      </w:r>
      <w:hyperlink r:id="rId104">
        <w:r>
          <w:rPr>
            <w:rStyle w:val="Hyperlink"/>
          </w:rPr>
          <w:t xml:space="preserve">Holt et al. 1997</w:t>
        </w:r>
      </w:hyperlink>
      <w:r>
        <w:t xml:space="preserve">;</w:t>
      </w:r>
      <w:r>
        <w:t xml:space="preserve"> </w:t>
      </w:r>
      <w:hyperlink r:id="rId105">
        <w:r>
          <w:rPr>
            <w:rStyle w:val="Hyperlink"/>
          </w:rPr>
          <w:t xml:space="preserve">Tyler-Walters &amp; Jackson 1999</w:t>
        </w:r>
      </w:hyperlink>
      <w:r>
        <w:t xml:space="preserve">). Consequently, their meaning often relies on the context in which they are used. To avoid context-dependent definitions of these terms, we took the following value-neutral approach to defining sensitivity and vulnerability.</w:t>
      </w:r>
    </w:p>
    <w:p>
      <w:pPr>
        <w:pStyle w:val="BodyText"/>
      </w:pPr>
      <w:r>
        <w:t xml:space="preserve">It is axiomatic that all marine features have either evolved (in the case of biotic features) or been formed (in the case of abiotic features) within a certain range of environmental conditions. We define</w:t>
      </w:r>
      <w:r>
        <w:t xml:space="preserve"> </w:t>
      </w:r>
      <w:r>
        <w:rPr>
          <w:i/>
          <w:iCs/>
        </w:rPr>
        <w:t xml:space="preserve">stress</w:t>
      </w:r>
      <w:r>
        <w:t xml:space="preserve"> </w:t>
      </w:r>
      <w:r>
        <w:t xml:space="preserve">as a deviation of these environmental conditions beyond the expected range.</w:t>
      </w:r>
      <w:r>
        <w:t xml:space="preserve"> </w:t>
      </w:r>
      <w:r>
        <w:rPr>
          <w:i/>
          <w:iCs/>
        </w:rPr>
        <w:t xml:space="preserve">Sensitivity</w:t>
      </w:r>
      <w:r>
        <w:t xml:space="preserve"> </w:t>
      </w:r>
      <w:r>
        <w:t xml:space="preserve">is the degree to which marine features respond to such stress. Specifically, sensitivity is measured using one or more indicators (of species, communities, and habitats) that respond to one or more natural or anthropogenic stressors. These responses are potentially nonlinear and are likely to include interactions between stressors. In this context, sensitivity does not inherently assume the characteristics of fragility or intolerance with which it is often associated. There is no implied judgement that an increased association between the indicator and the stressor reduces a feature’s probability of</w:t>
      </w:r>
      <w:r>
        <w:t xml:space="preserve"> </w:t>
      </w:r>
      <w:r>
        <w:rPr>
          <w:b/>
          <w:bCs/>
          <w:i/>
          <w:iCs/>
        </w:rPr>
        <w:t xml:space="preserve">persistence</w:t>
      </w:r>
      <w:r>
        <w:t xml:space="preserve">. Nevertheless, as exposure to a chronic perturbation or stress increases, the persistence of that feature is diminished.</w:t>
      </w:r>
    </w:p>
    <w:p>
      <w:pPr>
        <w:pStyle w:val="BodyText"/>
      </w:pPr>
      <w:r>
        <w:rPr>
          <w:i/>
          <w:iCs/>
        </w:rPr>
        <w:t xml:space="preserve">Vulnerability</w:t>
      </w:r>
      <w:r>
        <w:t xml:space="preserve"> </w:t>
      </w:r>
      <w:r>
        <w:t xml:space="preserve">is the probability that a feature will be exposed to a</w:t>
      </w:r>
      <w:r>
        <w:t xml:space="preserve"> </w:t>
      </w:r>
      <w:r>
        <w:rPr>
          <w:b/>
          <w:bCs/>
          <w:i/>
          <w:iCs/>
        </w:rPr>
        <w:t xml:space="preserve">stressor</w:t>
      </w:r>
      <w:r>
        <w:t xml:space="preserve"> </w:t>
      </w:r>
      <w:r>
        <w:t xml:space="preserve">to which it is</w:t>
      </w:r>
      <w:r>
        <w:t xml:space="preserve"> </w:t>
      </w:r>
      <w:r>
        <w:rPr>
          <w:b/>
          <w:bCs/>
          <w:i/>
          <w:iCs/>
        </w:rPr>
        <w:t xml:space="preserve">sensitive</w:t>
      </w:r>
      <w:r>
        <w:t xml:space="preserve">. In other words, vulnerability is the likelihood of</w:t>
      </w:r>
      <w:r>
        <w:t xml:space="preserve"> </w:t>
      </w:r>
      <w:r>
        <w:rPr>
          <w:b/>
          <w:bCs/>
          <w:i/>
          <w:iCs/>
        </w:rPr>
        <w:t xml:space="preserve">exposure</w:t>
      </w:r>
      <w:r>
        <w:t xml:space="preserve"> </w:t>
      </w:r>
      <w:r>
        <w:t xml:space="preserve">to a relevant external stress factor (sensu</w:t>
      </w:r>
      <w:r>
        <w:t xml:space="preserve"> </w:t>
      </w:r>
      <w:hyperlink r:id="rId105">
        <w:r>
          <w:rPr>
            <w:rStyle w:val="Hyperlink"/>
          </w:rPr>
          <w:t xml:space="preserve">Tyler-Walters &amp; Jackson 1999</w:t>
        </w:r>
      </w:hyperlink>
      <w:r>
        <w:t xml:space="preserve">), combined in some way with the</w:t>
      </w:r>
      <w:r>
        <w:t xml:space="preserve"> </w:t>
      </w:r>
      <w:r>
        <w:rPr>
          <w:b/>
          <w:bCs/>
          <w:i/>
          <w:iCs/>
        </w:rPr>
        <w:t xml:space="preserve">exposure</w:t>
      </w:r>
      <w:r>
        <w:t xml:space="preserve"> </w:t>
      </w:r>
      <w:r>
        <w:t xml:space="preserve">(duration, magnitude, rate of change) to that stress.</w:t>
      </w:r>
    </w:p>
    <w:p>
      <w:pPr>
        <w:pStyle w:val="BodyText"/>
      </w:pPr>
      <w:r>
        <w:t xml:space="preserve">Subsumed under the concepts of sensitivity and vulnerability are the concepts of</w:t>
      </w:r>
      <w:r>
        <w:t xml:space="preserve"> </w:t>
      </w:r>
      <w:r>
        <w:rPr>
          <w:b/>
          <w:bCs/>
          <w:i/>
          <w:iCs/>
        </w:rPr>
        <w:t xml:space="preserve">stability</w:t>
      </w:r>
      <w:r>
        <w:t xml:space="preserve"> </w:t>
      </w:r>
      <w:r>
        <w:t xml:space="preserve">and</w:t>
      </w:r>
      <w:r>
        <w:t xml:space="preserve"> </w:t>
      </w:r>
      <w:r>
        <w:rPr>
          <w:b/>
          <w:bCs/>
          <w:i/>
          <w:iCs/>
        </w:rPr>
        <w:t xml:space="preserve">fragility</w:t>
      </w:r>
      <w:r>
        <w:t xml:space="preserve">. Although these terms lack general consensus on their definitions,</w:t>
      </w:r>
      <w:r>
        <w:t xml:space="preserve"> </w:t>
      </w:r>
      <w:hyperlink r:id="rId106">
        <w:r>
          <w:rPr>
            <w:rStyle w:val="Hyperlink"/>
          </w:rPr>
          <w:t xml:space="preserve">Holling (1986)</w:t>
        </w:r>
      </w:hyperlink>
      <w:r>
        <w:t xml:space="preserve"> </w:t>
      </w:r>
      <w:r>
        <w:t xml:space="preserve">states that</w:t>
      </w:r>
      <w:r>
        <w:br/>
      </w:r>
      <w:r>
        <w:rPr>
          <w:b/>
          <w:bCs/>
        </w:rPr>
        <w:t xml:space="preserve">stability</w:t>
      </w:r>
      <w:r>
        <w:t xml:space="preserve"> </w:t>
      </w:r>
      <w:r>
        <w:t xml:space="preserve">is the tendency of a system to attain or retain an equilibrium condition of steady state or stable oscillation.</w:t>
      </w:r>
      <w:r>
        <w:br/>
      </w:r>
      <w:r>
        <w:rPr>
          <w:b/>
          <w:bCs/>
        </w:rPr>
        <w:t xml:space="preserve">Resilience</w:t>
      </w:r>
      <w:r>
        <w:t xml:space="preserve"> </w:t>
      </w:r>
      <w:r>
        <w:t xml:space="preserve">is the ability of a system to maintain its structure and behavioral patterns when subjected to</w:t>
      </w:r>
      <w:r>
        <w:t xml:space="preserve"> </w:t>
      </w:r>
      <w:r>
        <w:rPr>
          <w:b/>
          <w:bCs/>
          <w:i/>
          <w:iCs/>
        </w:rPr>
        <w:t xml:space="preserve">disturbance</w:t>
      </w:r>
      <w:r>
        <w:t xml:space="preserve">. A feature, therefore, that is stable or resilient in the presence of a stressor is not sensitive to that stress as we have defined it. Also, a feature that is sensitive to a stressor for which it has a low probability of exposure is not vulnerable.</w:t>
      </w:r>
    </w:p>
    <w:p>
      <w:pPr>
        <w:pStyle w:val="BodyText"/>
      </w:pPr>
      <w:r>
        <w:t xml:space="preserve">Our definitions of</w:t>
      </w:r>
      <w:r>
        <w:t xml:space="preserve"> </w:t>
      </w:r>
      <w:r>
        <w:rPr>
          <w:i/>
          <w:iCs/>
        </w:rPr>
        <w:t xml:space="preserve">sensitivity</w:t>
      </w:r>
      <w:r>
        <w:t xml:space="preserve"> </w:t>
      </w:r>
      <w:r>
        <w:t xml:space="preserve">and</w:t>
      </w:r>
      <w:r>
        <w:t xml:space="preserve"> </w:t>
      </w:r>
      <w:r>
        <w:rPr>
          <w:i/>
          <w:iCs/>
        </w:rPr>
        <w:t xml:space="preserve">vulnerability</w:t>
      </w:r>
      <w:r>
        <w:t xml:space="preserve"> </w:t>
      </w:r>
      <w:r>
        <w:t xml:space="preserve">are consistent with the ESI approach used for oil spill response and countermeasures (Gundlach &amp; Hayes 1978). Under the ESI approach a resource is defined as sensitive to oil if it would be harmed by physical contact with oil or concentrations of oil in water. A resource is defined as vulnerable if it is likely that it would be exposed to oil or high concentrations of oil for long enough periods for the oil to affect it. Vulnerability in terms of oil spills on shorelines, therefore, is a function of duration of exposure, recognizing that certain resources are vulnerable to oiling regardless of duration.</w:t>
      </w:r>
    </w:p>
    <w:p>
      <w:pPr>
        <w:pStyle w:val="BodyText"/>
      </w:pPr>
      <w:r>
        <w:t xml:space="preserve">Our definition of a VMA, which incorporates the concepts of sensitivity and vulnerability, is a geographically definable area containing features that are sensitive to natural and/or anthropogenic stressors they are likely to encounter. Features may be biotic (species, communities) or abiotic (habitats) structures or processes.</w:t>
      </w:r>
    </w:p>
    <w:p>
      <w:pPr>
        <w:pStyle w:val="BodyText"/>
      </w:pPr>
      <w:r>
        <w:t xml:space="preserve">We caution against equating VMAs as we have defined them (and their sensitivity and vulnerability components) with terms such as</w:t>
      </w:r>
      <w:r>
        <w:t xml:space="preserve"> </w:t>
      </w:r>
      <w:r>
        <w:rPr>
          <w:i/>
          <w:iCs/>
        </w:rPr>
        <w:t xml:space="preserve">priority areas</w:t>
      </w:r>
      <w:r>
        <w:t xml:space="preserve">,</w:t>
      </w:r>
      <w:r>
        <w:t xml:space="preserve"> </w:t>
      </w:r>
      <w:r>
        <w:rPr>
          <w:i/>
          <w:iCs/>
        </w:rPr>
        <w:t xml:space="preserve">biodiversity hotspots</w:t>
      </w:r>
      <w:r>
        <w:t xml:space="preserve">,</w:t>
      </w:r>
      <w:r>
        <w:t xml:space="preserve"> </w:t>
      </w:r>
      <w:r>
        <w:rPr>
          <w:i/>
          <w:iCs/>
        </w:rPr>
        <w:t xml:space="preserve">critical habitat</w:t>
      </w:r>
      <w:r>
        <w:t xml:space="preserve">,</w:t>
      </w:r>
      <w:r>
        <w:t xml:space="preserve"> </w:t>
      </w:r>
      <w:r>
        <w:rPr>
          <w:i/>
          <w:iCs/>
        </w:rPr>
        <w:t xml:space="preserve">environmental significance</w:t>
      </w:r>
      <w:r>
        <w:t xml:space="preserve">, and</w:t>
      </w:r>
      <w:r>
        <w:t xml:space="preserve"> </w:t>
      </w:r>
      <w:r>
        <w:rPr>
          <w:i/>
          <w:iCs/>
        </w:rPr>
        <w:t xml:space="preserve">areas of interest</w:t>
      </w:r>
      <w:r>
        <w:t xml:space="preserve">, which are often used to identify areas of special concern or areas requiring management attention. Although certain VMAs may also represent priority areas or hotspots, depending on how these terms are defined and applied, an area may be sensitive or vulnerable but not meet criteria commonly used (e.g., species diversity) to identify these areas. In addition, although our definitions of</w:t>
      </w:r>
      <w:r>
        <w:t xml:space="preserve"> </w:t>
      </w:r>
      <w:r>
        <w:rPr>
          <w:i/>
          <w:iCs/>
        </w:rPr>
        <w:t xml:space="preserve">sensitivity</w:t>
      </w:r>
      <w:r>
        <w:t xml:space="preserve"> </w:t>
      </w:r>
      <w:r>
        <w:t xml:space="preserve">and</w:t>
      </w:r>
      <w:r>
        <w:t xml:space="preserve"> </w:t>
      </w:r>
      <w:r>
        <w:rPr>
          <w:i/>
          <w:iCs/>
        </w:rPr>
        <w:t xml:space="preserve">vulnerability</w:t>
      </w:r>
      <w:r>
        <w:t xml:space="preserve"> </w:t>
      </w:r>
      <w:r>
        <w:t xml:space="preserve">may contribute to measures or assessments of ecological (or ecosystem) integrity, these concepts are again different. Lastly, identification of an area as sensitive or vulnerable does not suggest that an area should be recommended as a marine protected area (MPA) or marine reserve or that MPAs are the only management tool applicable to the management and conservation of VMAs.</w:t>
      </w:r>
    </w:p>
    <w:bookmarkEnd w:id="107"/>
    <w:bookmarkEnd w:id="108"/>
    <w:bookmarkStart w:id="113" w:name="boyce2022"/>
    <w:p>
      <w:pPr>
        <w:pStyle w:val="Heading2"/>
      </w:pPr>
      <w:r>
        <w:t xml:space="preserve">(Boyce et al. 2022)</w:t>
      </w:r>
    </w:p>
    <w:p>
      <w:pPr>
        <w:pStyle w:val="FirstParagraph"/>
      </w:pPr>
      <w:r>
        <w:t xml:space="preserve">climate change vulnerability assessments (CCVAs)</w:t>
      </w:r>
    </w:p>
    <w:tbl>
      <w:tblPr>
        <w:tblStyle w:val="Table"/>
        <w:tblW w:type="pct" w:w="5000"/>
        <w:tblLayout w:type="fixed"/>
        <w:tblLook w:firstRow="0" w:lastRow="0" w:firstColumn="0" w:lastColumn="0" w:noHBand="0" w:noVBand="0" w:val="0000"/>
      </w:tblPr>
      <w:tblGrid>
        <w:gridCol w:w="7920"/>
      </w:tblGrid>
      <w:tr>
        <w:tc>
          <w:tcPr/>
          <w:bookmarkStart w:id="112" w:name="fig-risk-idx-marine-life"/>
          <w:p>
            <w:pPr>
              <w:pStyle w:val="Compact"/>
              <w:jc w:val="center"/>
            </w:pPr>
            <w:r>
              <w:drawing>
                <wp:inline>
                  <wp:extent cx="5334000" cy="2335862"/>
                  <wp:effectExtent b="0" l="0" r="0" t="0"/>
                  <wp:docPr descr="" title="" id="110" name="Picture"/>
                  <a:graphic>
                    <a:graphicData uri="http://schemas.openxmlformats.org/drawingml/2006/picture">
                      <pic:pic>
                        <pic:nvPicPr>
                          <pic:cNvPr descr="figures/boyce2022_climate-risk-flow.png" id="111" name="Picture"/>
                          <pic:cNvPicPr>
                            <a:picLocks noChangeArrowheads="1" noChangeAspect="1"/>
                          </pic:cNvPicPr>
                        </pic:nvPicPr>
                        <pic:blipFill>
                          <a:blip r:embed="rId109"/>
                          <a:stretch>
                            <a:fillRect/>
                          </a:stretch>
                        </pic:blipFill>
                        <pic:spPr bwMode="auto">
                          <a:xfrm>
                            <a:off x="0" y="0"/>
                            <a:ext cx="5334000" cy="23358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12.2:</w:t>
            </w:r>
            <w:r>
              <w:t xml:space="preserve"> </w:t>
            </w:r>
            <w:r>
              <w:rPr>
                <w:b/>
                <w:bCs/>
              </w:rPr>
              <w:t xml:space="preserve">a</w:t>
            </w:r>
            <w:r>
              <w:t xml:space="preserve">–</w:t>
            </w:r>
            <w:r>
              <w:rPr>
                <w:b/>
                <w:bCs/>
              </w:rPr>
              <w:t xml:space="preserve">e</w:t>
            </w:r>
            <w:r>
              <w:t xml:space="preserve">, Within each grid cell (1° × 1° here) across the native geographic distribution of a species (</w:t>
            </w:r>
            <w:r>
              <w:rPr>
                <w:b/>
                <w:bCs/>
              </w:rPr>
              <w:t xml:space="preserve">a</w:t>
            </w:r>
            <w:r>
              <w:t xml:space="preserve">), 12 standardized climate indices are calculated (</w:t>
            </w:r>
            <w:r>
              <w:rPr>
                <w:b/>
                <w:bCs/>
              </w:rPr>
              <w:t xml:space="preserve">b</w:t>
            </w:r>
            <w:r>
              <w:t xml:space="preserve">) and used to define the three dimensions of climate vulnerability (</w:t>
            </w:r>
            <w:r>
              <w:rPr>
                <w:b/>
                <w:bCs/>
              </w:rPr>
              <w:t xml:space="preserve">c</w:t>
            </w:r>
            <w:r>
              <w:t xml:space="preserve">): present-day sensitivity (blue), projected future exposure (red) and innate adaptivity (yellow). The dimensions are used to calculate the species’ climate vulnerability (</w:t>
            </w:r>
            <w:r>
              <w:rPr>
                <w:b/>
                <w:bCs/>
              </w:rPr>
              <w:t xml:space="preserve">d</w:t>
            </w:r>
            <w:r>
              <w:t xml:space="preserve">), and the relative vulnerability scores are translated into absolute climate risk categories (</w:t>
            </w:r>
            <w:r>
              <w:rPr>
                <w:b/>
                <w:bCs/>
              </w:rPr>
              <w:t xml:space="preserve">e</w:t>
            </w:r>
            <w:r>
              <w:t xml:space="preserve">).</w:t>
            </w:r>
            <w:r>
              <w:t xml:space="preserve"> </w:t>
            </w:r>
            <w:r>
              <w:rPr>
                <w:b/>
                <w:bCs/>
              </w:rPr>
              <w:t xml:space="preserve">f</w:t>
            </w:r>
            <w:r>
              <w:t xml:space="preserve">, Species maps are superimposed to assess the climate vulnerability and risk for marine ecosystems. Basemaps in</w:t>
            </w:r>
            <w:r>
              <w:t xml:space="preserve"> </w:t>
            </w:r>
            <w:r>
              <w:rPr>
                <w:b/>
                <w:bCs/>
              </w:rPr>
              <w:t xml:space="preserve">a</w:t>
            </w:r>
            <w:r>
              <w:t xml:space="preserve">,</w:t>
            </w:r>
            <w:r>
              <w:rPr>
                <w:b/>
                <w:bCs/>
              </w:rPr>
              <w:t xml:space="preserve">c</w:t>
            </w:r>
            <w:r>
              <w:t xml:space="preserve">–</w:t>
            </w:r>
            <w:r>
              <w:rPr>
                <w:b/>
                <w:bCs/>
              </w:rPr>
              <w:t xml:space="preserve">e</w:t>
            </w:r>
            <w:r>
              <w:t xml:space="preserve"> </w:t>
            </w:r>
            <w:r>
              <w:t xml:space="preserve">from Natural Earth.</w:t>
            </w:r>
          </w:p>
          <w:bookmarkEnd w:id="112"/>
        </w:tc>
      </w:tr>
    </w:tbl>
    <w:p>
      <w:pPr>
        <w:numPr>
          <w:ilvl w:val="0"/>
          <w:numId w:val="1011"/>
        </w:numPr>
      </w:pPr>
      <w:r>
        <w:t xml:space="preserve">Distribution (</w:t>
      </w:r>
      <m:oMath>
        <m:r>
          <m:t>x</m:t>
        </m:r>
        <m:r>
          <m:t>y</m:t>
        </m:r>
      </m:oMath>
      <w:r>
        <w:t xml:space="preserve">)</w:t>
      </w:r>
      <w:r>
        <w:br/>
      </w:r>
      <w:r>
        <w:t xml:space="preserve">of species</w:t>
      </w:r>
    </w:p>
    <w:p>
      <w:pPr>
        <w:numPr>
          <w:ilvl w:val="0"/>
          <w:numId w:val="1011"/>
        </w:numPr>
      </w:pPr>
      <w:r>
        <w:t xml:space="preserve">Indices (n=12):</w:t>
      </w:r>
      <w:r>
        <w:br/>
      </w:r>
      <w:r>
        <w:t xml:space="preserve">species weights</w:t>
      </w:r>
    </w:p>
    <w:p>
      <w:pPr>
        <w:numPr>
          <w:ilvl w:val="1"/>
          <w:numId w:val="1012"/>
        </w:numPr>
      </w:pPr>
      <w:r>
        <w:t xml:space="preserve">Exposure (current)</w:t>
      </w:r>
    </w:p>
    <w:p>
      <w:pPr>
        <w:numPr>
          <w:ilvl w:val="2"/>
          <w:numId w:val="1013"/>
        </w:numPr>
      </w:pPr>
      <w:r>
        <w:t xml:space="preserve">Thermal safety margin</w:t>
      </w:r>
    </w:p>
    <w:p>
      <w:pPr>
        <w:numPr>
          <w:ilvl w:val="2"/>
          <w:numId w:val="1013"/>
        </w:numPr>
      </w:pPr>
      <w:r>
        <w:t xml:space="preserve">Vertical habitat use</w:t>
      </w:r>
    </w:p>
    <w:p>
      <w:pPr>
        <w:numPr>
          <w:ilvl w:val="2"/>
          <w:numId w:val="1013"/>
        </w:numPr>
      </w:pPr>
      <w:r>
        <w:t xml:space="preserve">Anthropogenic stressors</w:t>
      </w:r>
    </w:p>
    <w:p>
      <w:pPr>
        <w:numPr>
          <w:ilvl w:val="2"/>
          <w:numId w:val="1013"/>
        </w:numPr>
      </w:pPr>
      <w:r>
        <w:t xml:space="preserve">Conservation status</w:t>
      </w:r>
    </w:p>
    <w:p>
      <w:pPr>
        <w:numPr>
          <w:ilvl w:val="1"/>
          <w:numId w:val="1012"/>
        </w:numPr>
      </w:pPr>
      <w:r>
        <w:t xml:space="preserve">Sensitivity (future)</w:t>
      </w:r>
    </w:p>
    <w:p>
      <w:pPr>
        <w:numPr>
          <w:ilvl w:val="2"/>
          <w:numId w:val="1014"/>
        </w:numPr>
      </w:pPr>
      <w:r>
        <w:t xml:space="preserve">Ecosystem disruption</w:t>
      </w:r>
    </w:p>
    <w:p>
      <w:pPr>
        <w:numPr>
          <w:ilvl w:val="2"/>
          <w:numId w:val="1014"/>
        </w:numPr>
      </w:pPr>
      <w:r>
        <w:t xml:space="preserve">Time of climate emergence</w:t>
      </w:r>
    </w:p>
    <w:p>
      <w:pPr>
        <w:numPr>
          <w:ilvl w:val="2"/>
          <w:numId w:val="1014"/>
        </w:numPr>
      </w:pPr>
      <w:r>
        <w:t xml:space="preserve">Thermal habitat loss</w:t>
      </w:r>
    </w:p>
    <w:p>
      <w:pPr>
        <w:numPr>
          <w:ilvl w:val="2"/>
          <w:numId w:val="1014"/>
        </w:numPr>
      </w:pPr>
      <w:r>
        <w:t xml:space="preserve">Climate velocity</w:t>
      </w:r>
    </w:p>
    <w:p>
      <w:pPr>
        <w:numPr>
          <w:ilvl w:val="1"/>
          <w:numId w:val="1012"/>
        </w:numPr>
      </w:pPr>
      <w:r>
        <w:t xml:space="preserve">Adaptivity (innate)</w:t>
      </w:r>
    </w:p>
    <w:p>
      <w:pPr>
        <w:numPr>
          <w:ilvl w:val="2"/>
          <w:numId w:val="1015"/>
        </w:numPr>
      </w:pPr>
      <w:r>
        <w:t xml:space="preserve">Thermal habitat variability</w:t>
      </w:r>
    </w:p>
    <w:p>
      <w:pPr>
        <w:numPr>
          <w:ilvl w:val="2"/>
          <w:numId w:val="1015"/>
        </w:numPr>
      </w:pPr>
      <w:r>
        <w:t xml:space="preserve">Geographic range extent</w:t>
      </w:r>
    </w:p>
    <w:p>
      <w:pPr>
        <w:numPr>
          <w:ilvl w:val="2"/>
          <w:numId w:val="1015"/>
        </w:numPr>
      </w:pPr>
      <w:r>
        <w:t xml:space="preserve">Maximum body length</w:t>
      </w:r>
    </w:p>
    <w:p>
      <w:pPr>
        <w:numPr>
          <w:ilvl w:val="2"/>
          <w:numId w:val="1015"/>
        </w:numPr>
      </w:pPr>
      <w:r>
        <w:t xml:space="preserve">Habitat fragmentation</w:t>
      </w:r>
    </w:p>
    <w:p>
      <w:pPr>
        <w:numPr>
          <w:ilvl w:val="0"/>
          <w:numId w:val="1011"/>
        </w:numPr>
      </w:pPr>
      <w:r>
        <w:t xml:space="preserve">Dimensions (</w:t>
      </w:r>
      <m:oMath>
        <m:r>
          <m:t>D</m:t>
        </m:r>
      </m:oMath>
      <w:r>
        <w:t xml:space="preserve">)</w:t>
      </w:r>
    </w:p>
    <w:p>
      <w:pPr>
        <w:numPr>
          <w:ilvl w:val="1"/>
          <w:numId w:val="1016"/>
        </w:numPr>
      </w:pPr>
      <w:r>
        <w:t xml:space="preserve">Exposure (</w:t>
      </w:r>
      <m:oMath>
        <m:r>
          <m:t>E</m:t>
        </m:r>
      </m:oMath>
      <w:r>
        <w:t xml:space="preserve">)</w:t>
      </w:r>
    </w:p>
    <w:p>
      <w:pPr>
        <w:numPr>
          <w:ilvl w:val="1"/>
          <w:numId w:val="1016"/>
        </w:numPr>
      </w:pPr>
      <w:r>
        <w:t xml:space="preserve">Sensitivity (</w:t>
      </w:r>
      <m:oMath>
        <m:r>
          <m:t>S</m:t>
        </m:r>
      </m:oMath>
      <w:r>
        <w:t xml:space="preserve">)</w:t>
      </w:r>
    </w:p>
    <w:p>
      <w:pPr>
        <w:numPr>
          <w:ilvl w:val="1"/>
          <w:numId w:val="1016"/>
        </w:numPr>
      </w:pPr>
      <w:r>
        <w:t xml:space="preserve">Adaptivity (</w:t>
      </w:r>
      <m:oMath>
        <m:r>
          <m:t>A</m:t>
        </m:r>
      </m:oMath>
      <w:r>
        <w:t xml:space="preserve">)</w:t>
      </w:r>
    </w:p>
    <w:p>
      <w:pPr>
        <w:numPr>
          <w:ilvl w:val="0"/>
          <w:numId w:val="1011"/>
        </w:numPr>
      </w:pPr>
      <w:r>
        <w:t xml:space="preserve">(Climate) Vulnerability</w:t>
      </w:r>
    </w:p>
    <w:p>
      <w:pPr>
        <w:pStyle w:val="FirstParagraph"/>
      </w:pPr>
      <m:oMathPara>
        <m:oMathParaPr>
          <m:jc m:val="center"/>
        </m:oMathParaPr>
        <m:oMath>
          <m:r>
            <m:t>V</m:t>
          </m:r>
          <m:r>
            <m:rPr>
              <m:sty m:val="p"/>
            </m:rPr>
            <m:t>=</m:t>
          </m:r>
          <m:r>
            <m:t>E</m:t>
          </m:r>
          <m:r>
            <m:rPr>
              <m:sty m:val="p"/>
            </m:rPr>
            <m:t>*</m:t>
          </m:r>
          <m:r>
            <m:t>S</m:t>
          </m:r>
          <m:r>
            <m:rPr>
              <m:sty m:val="p"/>
            </m:rPr>
            <m:t>*</m:t>
          </m:r>
          <m:r>
            <m:t>A</m:t>
          </m:r>
        </m:oMath>
      </m:oMathPara>
    </w:p>
    <w:p>
      <w:pPr>
        <w:numPr>
          <w:ilvl w:val="0"/>
          <w:numId w:val="1017"/>
        </w:numPr>
      </w:pPr>
      <w:r>
        <w:t xml:space="preserve">(Climate) Risk (</w:t>
      </w:r>
      <m:oMath>
        <m:r>
          <m:t>R</m:t>
        </m:r>
      </m:oMath>
      <w:r>
        <w:t xml:space="preserve">)</w:t>
      </w:r>
    </w:p>
    <w:p>
      <w:pPr>
        <w:numPr>
          <w:ilvl w:val="1"/>
          <w:numId w:val="1018"/>
        </w:numPr>
      </w:pPr>
      <w:r>
        <w:t xml:space="preserve">Species (</w:t>
      </w:r>
      <m:oMath>
        <m:r>
          <m:t>s</m:t>
        </m:r>
        <m:r>
          <m:t>p</m:t>
        </m:r>
      </m:oMath>
      <w:r>
        <w:t xml:space="preserve">)</w:t>
      </w:r>
    </w:p>
    <w:p>
      <w:pPr>
        <w:numPr>
          <w:ilvl w:val="1"/>
          <w:numId w:val="1018"/>
        </w:numPr>
      </w:pPr>
      <w:r>
        <w:t xml:space="preserve">Ecosystem</w:t>
      </w:r>
      <w:r>
        <w:br/>
      </w:r>
    </w:p>
    <w:p>
      <w:pPr>
        <w:pStyle w:val="BodyText"/>
      </w:pPr>
      <m:oMathPara>
        <m:oMathParaPr>
          <m:jc m:val="center"/>
        </m:oMathParaPr>
        <m:oMath>
          <m:sSub>
            <m:e>
              <m:r>
                <m:t>R</m:t>
              </m:r>
            </m:e>
            <m:sub>
              <m:r>
                <m:t>e</m:t>
              </m:r>
              <m:r>
                <m:t>c</m:t>
              </m:r>
              <m:r>
                <m:t>o</m:t>
              </m:r>
            </m:sub>
          </m:sSub>
          <m:r>
            <m:rPr>
              <m:sty m:val="p"/>
            </m:rPr>
            <m:t>=</m:t>
          </m:r>
          <m:r>
            <m:rPr>
              <m:sty m:val="p"/>
            </m:rPr>
            <m:t>∑</m:t>
          </m:r>
          <m:r>
            <m:t>s</m:t>
          </m:r>
          <m:r>
            <m:t>p</m:t>
          </m:r>
        </m:oMath>
      </m:oMathPara>
    </w:p>
    <w:p>
      <w:pPr>
        <w:pStyle w:val="FirstParagraph"/>
      </w:pPr>
      <w:r>
        <w:t xml:space="preserve">From the supplement:</w:t>
      </w:r>
    </w:p>
    <w:p>
      <w:pPr>
        <w:pStyle w:val="BlockText"/>
      </w:pPr>
      <w:r>
        <w:t xml:space="preserve">Following an early IPCC definition7 and subsequent broad adoption (4–6,8–10), species’ climate</w:t>
      </w:r>
    </w:p>
    <w:p>
      <w:pPr>
        <w:pStyle w:val="BlockText"/>
      </w:pPr>
      <w:r>
        <w:rPr>
          <w:b/>
          <w:bCs/>
        </w:rPr>
        <w:t xml:space="preserve">vulnerability</w:t>
      </w:r>
      <w:r>
        <w:t xml:space="preserve"> </w:t>
      </w:r>
      <w:r>
        <w:t xml:space="preserve">has been defined by three dimensions: their sensitivity, exposure, and adaptive capacity (adaptivity) to climate change.</w:t>
      </w:r>
    </w:p>
    <w:p>
      <w:pPr>
        <w:pStyle w:val="BlockText"/>
      </w:pPr>
      <w:r>
        <w:rPr>
          <w:b/>
          <w:bCs/>
        </w:rPr>
        <w:t xml:space="preserve">Sensitivity</w:t>
      </w:r>
      <w:r>
        <w:t xml:space="preserve"> </w:t>
      </w:r>
      <w:r>
        <w:t xml:space="preserve">refers to the propensity for a species to be adversely affected by its exposure to climate change.</w:t>
      </w:r>
    </w:p>
    <w:p>
      <w:pPr>
        <w:pStyle w:val="BlockText"/>
      </w:pPr>
      <w:r>
        <w:rPr>
          <w:b/>
          <w:bCs/>
        </w:rPr>
        <w:t xml:space="preserve">Exposure</w:t>
      </w:r>
      <w:r>
        <w:t xml:space="preserve"> </w:t>
      </w:r>
      <w:r>
        <w:t xml:space="preserve">refers to the extent to which species will be subjected to hazardous climate changes, including the magnitude of the effects.</w:t>
      </w:r>
    </w:p>
    <w:p>
      <w:pPr>
        <w:pStyle w:val="BlockText"/>
      </w:pPr>
      <w:r>
        <w:rPr>
          <w:b/>
          <w:bCs/>
        </w:rPr>
        <w:t xml:space="preserve">Adaptivity</w:t>
      </w:r>
      <w:r>
        <w:t xml:space="preserve"> </w:t>
      </w:r>
      <w:r>
        <w:t xml:space="preserve">refers to the potential of species to adapt to any adverse exposure to climate change.</w:t>
      </w:r>
    </w:p>
    <w:p>
      <w:pPr>
        <w:pStyle w:val="BlockText"/>
      </w:pPr>
      <w:r>
        <w:t xml:space="preserve">These dimensions have close analogies in other disciplines, including community ecology and dynamic complex systems theory (11–13). For example,</w:t>
      </w:r>
      <w:r>
        <w:br/>
      </w:r>
      <w:r>
        <w:rPr>
          <w:b/>
          <w:bCs/>
        </w:rPr>
        <w:t xml:space="preserve">sensitivity</w:t>
      </w:r>
      <w:r>
        <w:t xml:space="preserve"> </w:t>
      </w:r>
      <w:r>
        <w:t xml:space="preserve">is analogous to the ecological concept of</w:t>
      </w:r>
      <w:r>
        <w:t xml:space="preserve"> </w:t>
      </w:r>
      <w:r>
        <w:rPr>
          <w:b/>
          <w:bCs/>
          <w:i/>
          <w:iCs/>
        </w:rPr>
        <w:t xml:space="preserve">resistance</w:t>
      </w:r>
      <w:r>
        <w:t xml:space="preserve">,</w:t>
      </w:r>
      <w:r>
        <w:br/>
      </w:r>
      <w:r>
        <w:rPr>
          <w:b/>
          <w:bCs/>
        </w:rPr>
        <w:t xml:space="preserve">exposure</w:t>
      </w:r>
      <w:r>
        <w:t xml:space="preserve"> </w:t>
      </w:r>
      <w:r>
        <w:t xml:space="preserve">is analogous to</w:t>
      </w:r>
      <w:r>
        <w:t xml:space="preserve"> </w:t>
      </w:r>
      <w:r>
        <w:rPr>
          <w:b/>
          <w:bCs/>
          <w:i/>
          <w:iCs/>
        </w:rPr>
        <w:t xml:space="preserve">reactivity</w:t>
      </w:r>
      <w:r>
        <w:t xml:space="preserve">, and</w:t>
      </w:r>
      <w:r>
        <w:br/>
      </w:r>
      <w:r>
        <w:rPr>
          <w:b/>
          <w:bCs/>
        </w:rPr>
        <w:t xml:space="preserve">adaptivity</w:t>
      </w:r>
      <w:r>
        <w:t xml:space="preserve"> </w:t>
      </w:r>
      <w:r>
        <w:t xml:space="preserve">is analogous to</w:t>
      </w:r>
      <w:r>
        <w:t xml:space="preserve"> </w:t>
      </w:r>
      <w:r>
        <w:rPr>
          <w:b/>
          <w:bCs/>
          <w:i/>
          <w:iCs/>
        </w:rPr>
        <w:t xml:space="preserve">resilience</w:t>
      </w:r>
      <w:r>
        <w:t xml:space="preserve"> </w:t>
      </w:r>
      <w:r>
        <w:t xml:space="preserve">(14–16).</w:t>
      </w:r>
    </w:p>
    <w:bookmarkEnd w:id="113"/>
    <w:bookmarkEnd w:id="114"/>
    <w:bookmarkStart w:id="120" w:name="vulnerability-mapper"/>
    <w:p>
      <w:pPr>
        <w:pStyle w:val="Heading1"/>
      </w:pPr>
      <w:r>
        <w:t xml:space="preserve">Vulnerability Mapper</w:t>
      </w:r>
    </w:p>
    <w:p>
      <w:pPr>
        <w:pStyle w:val="FirstParagraph"/>
      </w:pPr>
      <w:r>
        <w:t xml:space="preserve">Combine species distribution models (raster) and vulnerability metrics (tables) to identify areas of high conservation concern.</w:t>
      </w:r>
    </w:p>
    <w:p>
      <w:pPr>
        <w:numPr>
          <w:ilvl w:val="0"/>
          <w:numId w:val="1019"/>
        </w:numPr>
      </w:pPr>
      <w:hyperlink r:id="rId115">
        <w:r>
          <w:rPr>
            <w:rStyle w:val="Hyperlink"/>
          </w:rPr>
          <w:t xml:space="preserve"> </w:t>
        </w:r>
        <w:r>
          <w:rPr>
            <w:rStyle w:val="Hyperlink"/>
          </w:rPr>
          <w:t xml:space="preserve">website</w:t>
        </w:r>
      </w:hyperlink>
    </w:p>
    <w:p>
      <w:pPr>
        <w:numPr>
          <w:ilvl w:val="0"/>
          <w:numId w:val="1019"/>
        </w:numPr>
      </w:pPr>
      <w:hyperlink r:id="rId116">
        <w:r>
          <w:rPr>
            <w:rStyle w:val="Hyperlink"/>
          </w:rPr>
          <w:t xml:space="preserve"> </w:t>
        </w:r>
        <w:r>
          <w:rPr>
            <w:rStyle w:val="VerbatimChar"/>
          </w:rPr>
          <w:t xml:space="preserve">code</w:t>
        </w:r>
      </w:hyperlink>
    </w:p>
    <w:p>
      <w:pPr>
        <w:pStyle w:val="FirstParagraph"/>
      </w:pPr>
      <w:r>
        <w:drawing>
          <wp:inline>
            <wp:extent cx="5334000" cy="2955021"/>
            <wp:effectExtent b="0" l="0" r="0" t="0"/>
            <wp:docPr descr="" title="" id="118" name="Picture"/>
            <a:graphic>
              <a:graphicData uri="http://schemas.openxmlformats.org/drawingml/2006/picture">
                <pic:pic>
                  <pic:nvPicPr>
                    <pic:cNvPr descr="figures/apps/vmap.png" id="119" name="Picture"/>
                    <pic:cNvPicPr>
                      <a:picLocks noChangeArrowheads="1" noChangeAspect="1"/>
                    </pic:cNvPicPr>
                  </pic:nvPicPr>
                  <pic:blipFill>
                    <a:blip r:embed="rId117"/>
                    <a:stretch>
                      <a:fillRect/>
                    </a:stretch>
                  </pic:blipFill>
                  <pic:spPr bwMode="auto">
                    <a:xfrm>
                      <a:off x="0" y="0"/>
                      <a:ext cx="5334000" cy="2955021"/>
                    </a:xfrm>
                    <a:prstGeom prst="rect">
                      <a:avLst/>
                    </a:prstGeom>
                    <a:noFill/>
                    <a:ln w="9525">
                      <a:noFill/>
                      <a:headEnd/>
                      <a:tailEnd/>
                    </a:ln>
                  </pic:spPr>
                </pic:pic>
              </a:graphicData>
            </a:graphic>
          </wp:inline>
        </w:drawing>
      </w:r>
    </w:p>
    <w:bookmarkEnd w:id="120"/>
    <w:bookmarkStart w:id="126" w:name="distributions-raster"/>
    <w:p>
      <w:pPr>
        <w:pStyle w:val="Heading1"/>
      </w:pPr>
      <w:r>
        <w:t xml:space="preserve">Distributions, Raster</w:t>
      </w:r>
    </w:p>
    <w:p>
      <w:pPr>
        <w:pStyle w:val="FirstParagraph"/>
      </w:pPr>
      <w:r>
        <w:t xml:space="preserve">Show species distributions with high resolution rasters as cloud-optimized GeoTIFFs (COGs).</w:t>
      </w:r>
    </w:p>
    <w:p>
      <w:pPr>
        <w:numPr>
          <w:ilvl w:val="0"/>
          <w:numId w:val="1020"/>
        </w:numPr>
      </w:pPr>
      <w:hyperlink r:id="rId121">
        <w:r>
          <w:rPr>
            <w:rStyle w:val="Hyperlink"/>
          </w:rPr>
          <w:t xml:space="preserve"> </w:t>
        </w:r>
        <w:r>
          <w:rPr>
            <w:rStyle w:val="Hyperlink"/>
          </w:rPr>
          <w:t xml:space="preserve">website</w:t>
        </w:r>
      </w:hyperlink>
    </w:p>
    <w:p>
      <w:pPr>
        <w:numPr>
          <w:ilvl w:val="0"/>
          <w:numId w:val="1020"/>
        </w:numPr>
      </w:pPr>
      <w:hyperlink r:id="rId122">
        <w:r>
          <w:rPr>
            <w:rStyle w:val="Hyperlink"/>
          </w:rPr>
          <w:t xml:space="preserve"> </w:t>
        </w:r>
        <w:r>
          <w:rPr>
            <w:rStyle w:val="VerbatimChar"/>
          </w:rPr>
          <w:t xml:space="preserve">code</w:t>
        </w:r>
      </w:hyperlink>
    </w:p>
    <w:p>
      <w:pPr>
        <w:pStyle w:val="FirstParagraph"/>
      </w:pPr>
      <w:r>
        <w:drawing>
          <wp:inline>
            <wp:extent cx="5334000" cy="2951752"/>
            <wp:effectExtent b="0" l="0" r="0" t="0"/>
            <wp:docPr descr="" title="" id="124" name="Picture"/>
            <a:graphic>
              <a:graphicData uri="http://schemas.openxmlformats.org/drawingml/2006/picture">
                <pic:pic>
                  <pic:nvPicPr>
                    <pic:cNvPr descr="figures/apps/sdm-cog.png" id="125" name="Picture"/>
                    <pic:cNvPicPr>
                      <a:picLocks noChangeArrowheads="1" noChangeAspect="1"/>
                    </pic:cNvPicPr>
                  </pic:nvPicPr>
                  <pic:blipFill>
                    <a:blip r:embed="rId123"/>
                    <a:stretch>
                      <a:fillRect/>
                    </a:stretch>
                  </pic:blipFill>
                  <pic:spPr bwMode="auto">
                    <a:xfrm>
                      <a:off x="0" y="0"/>
                      <a:ext cx="5334000" cy="2951752"/>
                    </a:xfrm>
                    <a:prstGeom prst="rect">
                      <a:avLst/>
                    </a:prstGeom>
                    <a:noFill/>
                    <a:ln w="9525">
                      <a:noFill/>
                      <a:headEnd/>
                      <a:tailEnd/>
                    </a:ln>
                  </pic:spPr>
                </pic:pic>
              </a:graphicData>
            </a:graphic>
          </wp:inline>
        </w:drawing>
      </w:r>
    </w:p>
    <w:bookmarkEnd w:id="126"/>
    <w:bookmarkStart w:id="132" w:name="distributions-vector"/>
    <w:p>
      <w:pPr>
        <w:pStyle w:val="Heading1"/>
      </w:pPr>
      <w:r>
        <w:t xml:space="preserve">Distributions, Vector</w:t>
      </w:r>
    </w:p>
    <w:p>
      <w:pPr>
        <w:pStyle w:val="FirstParagraph"/>
      </w:pPr>
      <w:r>
        <w:t xml:space="preserve">Show species distributions with high resolution vectors (as vector tiles).</w:t>
      </w:r>
    </w:p>
    <w:p>
      <w:pPr>
        <w:numPr>
          <w:ilvl w:val="0"/>
          <w:numId w:val="1021"/>
        </w:numPr>
      </w:pPr>
      <w:hyperlink r:id="rId127">
        <w:r>
          <w:rPr>
            <w:rStyle w:val="Hyperlink"/>
          </w:rPr>
          <w:t xml:space="preserve"> </w:t>
        </w:r>
        <w:r>
          <w:rPr>
            <w:rStyle w:val="Hyperlink"/>
          </w:rPr>
          <w:t xml:space="preserve">website</w:t>
        </w:r>
      </w:hyperlink>
    </w:p>
    <w:p>
      <w:pPr>
        <w:numPr>
          <w:ilvl w:val="0"/>
          <w:numId w:val="1021"/>
        </w:numPr>
      </w:pPr>
      <w:hyperlink r:id="rId128">
        <w:r>
          <w:rPr>
            <w:rStyle w:val="Hyperlink"/>
          </w:rPr>
          <w:t xml:space="preserve"> </w:t>
        </w:r>
        <w:r>
          <w:rPr>
            <w:rStyle w:val="VerbatimChar"/>
          </w:rPr>
          <w:t xml:space="preserve">code</w:t>
        </w:r>
      </w:hyperlink>
    </w:p>
    <w:p>
      <w:pPr>
        <w:pStyle w:val="FirstParagraph"/>
      </w:pPr>
      <w:r>
        <w:drawing>
          <wp:inline>
            <wp:extent cx="5334000" cy="2983171"/>
            <wp:effectExtent b="0" l="0" r="0" t="0"/>
            <wp:docPr descr="" title="" id="130" name="Picture"/>
            <a:graphic>
              <a:graphicData uri="http://schemas.openxmlformats.org/drawingml/2006/picture">
                <pic:pic>
                  <pic:nvPicPr>
                    <pic:cNvPr descr="figures/apps/sdm.png" id="131" name="Picture"/>
                    <pic:cNvPicPr>
                      <a:picLocks noChangeArrowheads="1" noChangeAspect="1"/>
                    </pic:cNvPicPr>
                  </pic:nvPicPr>
                  <pic:blipFill>
                    <a:blip r:embed="rId129"/>
                    <a:stretch>
                      <a:fillRect/>
                    </a:stretch>
                  </pic:blipFill>
                  <pic:spPr bwMode="auto">
                    <a:xfrm>
                      <a:off x="0" y="0"/>
                      <a:ext cx="5334000" cy="2983171"/>
                    </a:xfrm>
                    <a:prstGeom prst="rect">
                      <a:avLst/>
                    </a:prstGeom>
                    <a:noFill/>
                    <a:ln w="9525">
                      <a:noFill/>
                      <a:headEnd/>
                      <a:tailEnd/>
                    </a:ln>
                  </pic:spPr>
                </pic:pic>
              </a:graphicData>
            </a:graphic>
          </wp:inline>
        </w:drawing>
      </w:r>
    </w:p>
    <w:bookmarkEnd w:id="132"/>
    <w:bookmarkStart w:id="138" w:name="areas-of-interest"/>
    <w:p>
      <w:pPr>
        <w:pStyle w:val="Heading1"/>
      </w:pPr>
      <w:r>
        <w:t xml:space="preserve">Areas of Interest</w:t>
      </w:r>
    </w:p>
    <w:p>
      <w:pPr>
        <w:pStyle w:val="FirstParagraph"/>
      </w:pPr>
      <w:r>
        <w:t xml:space="preserve">Map high resolution Areas of Interest (using vector tiles) for visualization (and later summarization).</w:t>
      </w:r>
    </w:p>
    <w:p>
      <w:pPr>
        <w:numPr>
          <w:ilvl w:val="0"/>
          <w:numId w:val="1022"/>
        </w:numPr>
      </w:pPr>
      <w:hyperlink r:id="rId133">
        <w:r>
          <w:rPr>
            <w:rStyle w:val="Hyperlink"/>
          </w:rPr>
          <w:t xml:space="preserve"> </w:t>
        </w:r>
        <w:r>
          <w:rPr>
            <w:rStyle w:val="Hyperlink"/>
          </w:rPr>
          <w:t xml:space="preserve">website</w:t>
        </w:r>
      </w:hyperlink>
    </w:p>
    <w:p>
      <w:pPr>
        <w:numPr>
          <w:ilvl w:val="0"/>
          <w:numId w:val="1022"/>
        </w:numPr>
      </w:pPr>
      <w:hyperlink r:id="rId134">
        <w:r>
          <w:rPr>
            <w:rStyle w:val="Hyperlink"/>
          </w:rPr>
          <w:t xml:space="preserve"> </w:t>
        </w:r>
        <w:r>
          <w:rPr>
            <w:rStyle w:val="VerbatimChar"/>
          </w:rPr>
          <w:t xml:space="preserve">code</w:t>
        </w:r>
      </w:hyperlink>
    </w:p>
    <w:p>
      <w:pPr>
        <w:pStyle w:val="FirstParagraph"/>
      </w:pPr>
      <w:r>
        <w:drawing>
          <wp:inline>
            <wp:extent cx="5334000" cy="2988079"/>
            <wp:effectExtent b="0" l="0" r="0" t="0"/>
            <wp:docPr descr="" title="" id="136" name="Picture"/>
            <a:graphic>
              <a:graphicData uri="http://schemas.openxmlformats.org/drawingml/2006/picture">
                <pic:pic>
                  <pic:nvPicPr>
                    <pic:cNvPr descr="figures/apps/aoi.png" id="137" name="Picture"/>
                    <pic:cNvPicPr>
                      <a:picLocks noChangeArrowheads="1" noChangeAspect="1"/>
                    </pic:cNvPicPr>
                  </pic:nvPicPr>
                  <pic:blipFill>
                    <a:blip r:embed="rId135"/>
                    <a:stretch>
                      <a:fillRect/>
                    </a:stretch>
                  </pic:blipFill>
                  <pic:spPr bwMode="auto">
                    <a:xfrm>
                      <a:off x="0" y="0"/>
                      <a:ext cx="5334000" cy="2988079"/>
                    </a:xfrm>
                    <a:prstGeom prst="rect">
                      <a:avLst/>
                    </a:prstGeom>
                    <a:noFill/>
                    <a:ln w="9525">
                      <a:noFill/>
                      <a:headEnd/>
                      <a:tailEnd/>
                    </a:ln>
                  </pic:spPr>
                </pic:pic>
              </a:graphicData>
            </a:graphic>
          </wp:inline>
        </w:drawing>
      </w:r>
    </w:p>
    <w:bookmarkEnd w:id="138"/>
    <w:bookmarkStart w:id="144" w:name="bird-hotspots"/>
    <w:p>
      <w:pPr>
        <w:pStyle w:val="Heading1"/>
      </w:pPr>
      <w:r>
        <w:t xml:space="preserve">Bird Hotspots</w:t>
      </w:r>
    </w:p>
    <w:p>
      <w:pPr>
        <w:pStyle w:val="FirstParagraph"/>
      </w:pPr>
      <w:r>
        <w:t xml:space="preserve">Bird hotspots application showing hotspot probability for species present given drawn Area of Interest.</w:t>
      </w:r>
    </w:p>
    <w:p>
      <w:pPr>
        <w:numPr>
          <w:ilvl w:val="0"/>
          <w:numId w:val="1023"/>
        </w:numPr>
      </w:pPr>
      <w:hyperlink r:id="rId139">
        <w:r>
          <w:rPr>
            <w:rStyle w:val="Hyperlink"/>
          </w:rPr>
          <w:t xml:space="preserve"> </w:t>
        </w:r>
        <w:r>
          <w:rPr>
            <w:rStyle w:val="Hyperlink"/>
          </w:rPr>
          <w:t xml:space="preserve">website</w:t>
        </w:r>
      </w:hyperlink>
    </w:p>
    <w:p>
      <w:pPr>
        <w:numPr>
          <w:ilvl w:val="0"/>
          <w:numId w:val="1023"/>
        </w:numPr>
      </w:pPr>
      <w:hyperlink r:id="rId140">
        <w:r>
          <w:rPr>
            <w:rStyle w:val="Hyperlink"/>
          </w:rPr>
          <w:t xml:space="preserve"> </w:t>
        </w:r>
        <w:r>
          <w:rPr>
            <w:rStyle w:val="VerbatimChar"/>
          </w:rPr>
          <w:t xml:space="preserve">code</w:t>
        </w:r>
      </w:hyperlink>
    </w:p>
    <w:p>
      <w:pPr>
        <w:pStyle w:val="FirstParagraph"/>
      </w:pPr>
      <w:r>
        <w:drawing>
          <wp:inline>
            <wp:extent cx="5334000" cy="2948423"/>
            <wp:effectExtent b="0" l="0" r="0" t="0"/>
            <wp:docPr descr="" title="" id="142" name="Picture"/>
            <a:graphic>
              <a:graphicData uri="http://schemas.openxmlformats.org/drawingml/2006/picture">
                <pic:pic>
                  <pic:nvPicPr>
                    <pic:cNvPr descr="figures/apps/bird_hotspots.png" id="143" name="Picture"/>
                    <pic:cNvPicPr>
                      <a:picLocks noChangeArrowheads="1" noChangeAspect="1"/>
                    </pic:cNvPicPr>
                  </pic:nvPicPr>
                  <pic:blipFill>
                    <a:blip r:embed="rId141"/>
                    <a:stretch>
                      <a:fillRect/>
                    </a:stretch>
                  </pic:blipFill>
                  <pic:spPr bwMode="auto">
                    <a:xfrm>
                      <a:off x="0" y="0"/>
                      <a:ext cx="5334000" cy="2948423"/>
                    </a:xfrm>
                    <a:prstGeom prst="rect">
                      <a:avLst/>
                    </a:prstGeom>
                    <a:noFill/>
                    <a:ln w="9525">
                      <a:noFill/>
                      <a:headEnd/>
                      <a:tailEnd/>
                    </a:ln>
                  </pic:spPr>
                </pic:pic>
              </a:graphicData>
            </a:graphic>
          </wp:inline>
        </w:drawing>
      </w:r>
    </w:p>
    <w:bookmarkEnd w:id="144"/>
    <w:bookmarkStart w:id="150" w:name="regional-map"/>
    <w:p>
      <w:pPr>
        <w:pStyle w:val="Heading1"/>
      </w:pPr>
      <w:r>
        <w:t xml:space="preserve">Regional Map</w:t>
      </w:r>
    </w:p>
    <w:p>
      <w:pPr>
        <w:pStyle w:val="FirstParagraph"/>
      </w:pPr>
      <w:r>
        <w:t xml:space="preserve">Basic interactive map of BOEM regions.</w:t>
      </w:r>
    </w:p>
    <w:p>
      <w:pPr>
        <w:numPr>
          <w:ilvl w:val="0"/>
          <w:numId w:val="1024"/>
        </w:numPr>
      </w:pPr>
      <w:hyperlink r:id="rId145">
        <w:r>
          <w:rPr>
            <w:rStyle w:val="Hyperlink"/>
          </w:rPr>
          <w:t xml:space="preserve"> </w:t>
        </w:r>
        <w:r>
          <w:rPr>
            <w:rStyle w:val="Hyperlink"/>
          </w:rPr>
          <w:t xml:space="preserve">website</w:t>
        </w:r>
      </w:hyperlink>
    </w:p>
    <w:p>
      <w:pPr>
        <w:numPr>
          <w:ilvl w:val="0"/>
          <w:numId w:val="1024"/>
        </w:numPr>
      </w:pPr>
      <w:hyperlink r:id="rId146">
        <w:r>
          <w:rPr>
            <w:rStyle w:val="Hyperlink"/>
          </w:rPr>
          <w:t xml:space="preserve"> </w:t>
        </w:r>
        <w:r>
          <w:rPr>
            <w:rStyle w:val="VerbatimChar"/>
          </w:rPr>
          <w:t xml:space="preserve">code</w:t>
        </w:r>
      </w:hyperlink>
    </w:p>
    <w:p>
      <w:pPr>
        <w:pStyle w:val="FirstParagraph"/>
      </w:pPr>
      <w:r>
        <w:drawing>
          <wp:inline>
            <wp:extent cx="5334000" cy="3012314"/>
            <wp:effectExtent b="0" l="0" r="0" t="0"/>
            <wp:docPr descr="" title="" id="148" name="Picture"/>
            <a:graphic>
              <a:graphicData uri="http://schemas.openxmlformats.org/drawingml/2006/picture">
                <pic:pic>
                  <pic:nvPicPr>
                    <pic:cNvPr descr="figures/apps/map.png" id="149" name="Picture"/>
                    <pic:cNvPicPr>
                      <a:picLocks noChangeArrowheads="1" noChangeAspect="1"/>
                    </pic:cNvPicPr>
                  </pic:nvPicPr>
                  <pic:blipFill>
                    <a:blip r:embed="rId147"/>
                    <a:stretch>
                      <a:fillRect/>
                    </a:stretch>
                  </pic:blipFill>
                  <pic:spPr bwMode="auto">
                    <a:xfrm>
                      <a:off x="0" y="0"/>
                      <a:ext cx="5334000" cy="3012314"/>
                    </a:xfrm>
                    <a:prstGeom prst="rect">
                      <a:avLst/>
                    </a:prstGeom>
                    <a:noFill/>
                    <a:ln w="9525">
                      <a:noFill/>
                      <a:headEnd/>
                      <a:tailEnd/>
                    </a:ln>
                  </pic:spPr>
                </pic:pic>
              </a:graphicData>
            </a:graphic>
          </wp:inline>
        </w:drawing>
      </w:r>
    </w:p>
    <w:bookmarkEnd w:id="1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5" Target="media/rId135.png" /><Relationship Type="http://schemas.openxmlformats.org/officeDocument/2006/relationships/image" Id="rId141" Target="media/rId141.png" /><Relationship Type="http://schemas.openxmlformats.org/officeDocument/2006/relationships/image" Id="rId147" Target="media/rId147.png" /><Relationship Type="http://schemas.openxmlformats.org/officeDocument/2006/relationships/image" Id="rId123" Target="media/rId123.png" /><Relationship Type="http://schemas.openxmlformats.org/officeDocument/2006/relationships/image" Id="rId129" Target="media/rId129.png" /><Relationship Type="http://schemas.openxmlformats.org/officeDocument/2006/relationships/image" Id="rId117" Target="media/rId117.png" /><Relationship Type="http://schemas.openxmlformats.org/officeDocument/2006/relationships/image" Id="rId109" Target="media/rId109.png" /><Relationship Type="http://schemas.openxmlformats.org/officeDocument/2006/relationships/image" Id="rId27" Target="media/rId27.png" /><Relationship Type="http://schemas.openxmlformats.org/officeDocument/2006/relationships/image" Id="rId99" Target="media/rId99.jpg" /><Relationship Type="http://schemas.openxmlformats.org/officeDocument/2006/relationships/image" Id="rId22" Target="media/rId22.png" /><Relationship Type="http://schemas.openxmlformats.org/officeDocument/2006/relationships/hyperlink" Id="rId96" Target="MarineBON.org" TargetMode="External" /><Relationship Type="http://schemas.openxmlformats.org/officeDocument/2006/relationships/hyperlink" Id="rId75" Target="api.qmd" TargetMode="External" /><Relationship Type="http://schemas.openxmlformats.org/officeDocument/2006/relationships/hyperlink" Id="rId76" Target="db.qmd" TargetMode="External" /><Relationship Type="http://schemas.openxmlformats.org/officeDocument/2006/relationships/hyperlink" Id="rId57" Target="https://api.marinesensitivity.org" TargetMode="External" /><Relationship Type="http://schemas.openxmlformats.org/officeDocument/2006/relationships/hyperlink" Id="rId21" Target="https://boem.gov" TargetMode="External" /><Relationship Type="http://schemas.openxmlformats.org/officeDocument/2006/relationships/hyperlink" Id="rId47" Target="https://caddyserver.com" TargetMode="External" /><Relationship Type="http://schemas.openxmlformats.org/officeDocument/2006/relationships/hyperlink" Id="rId106" Target="https://conbio.onlinelibrary.wiley.com/doi/full/10.1111/j.1523-1739.2005.00148.x?casa_token=dQbCiVMGuTIAAAAA%3AjvFOL6f0ggi0pK1GfG296SGiluvGmFMdDGakyX04WfcHE-SopBk_Hewjc9BLIavWYiBU4wS8w3Ay5K-0#b14" TargetMode="External" /><Relationship Type="http://schemas.openxmlformats.org/officeDocument/2006/relationships/hyperlink" Id="rId105" Target="https://conbio.onlinelibrary.wiley.com/doi/full/10.1111/j.1523-1739.2005.00148.x?casa_token=dQbCiVMGuTIAAAAA%3AjvFOL6f0ggi0pK1GfG296SGiluvGmFMdDGakyX04WfcHE-SopBk_Hewjc9BLIavWYiBU4wS8w3Ay5K-0#b33" TargetMode="External" /><Relationship Type="http://schemas.openxmlformats.org/officeDocument/2006/relationships/hyperlink" Id="rId104" Target="https://conbio.onlinelibrary.wiley.com/doi/full/10.1111/j.1523-1739.2005.00148.x?casa_token=dQbCiVMGuTIAAAAA%3AjvFOL6f0ggi0pK1GfG296SGiluvGmFMdDGakyX04WfcHE-SopBk_Hewjc9BLIavWYiBU4wS8w3Ay5K-0#b39" TargetMode="External" /><Relationship Type="http://schemas.openxmlformats.org/officeDocument/2006/relationships/hyperlink" Id="rId90" Target="https://doi.org/10.1007/s10584-016-1642-0" TargetMode="External" /><Relationship Type="http://schemas.openxmlformats.org/officeDocument/2006/relationships/hyperlink" Id="rId83" Target="https://doi.org/10.1038/s41558-022-01437-y" TargetMode="External" /><Relationship Type="http://schemas.openxmlformats.org/officeDocument/2006/relationships/hyperlink" Id="rId85" Target="https://doi.org/10.1080/09640568.2014.973483" TargetMode="External" /><Relationship Type="http://schemas.openxmlformats.org/officeDocument/2006/relationships/hyperlink" Id="rId87" Target="https://doi.org/10.1111/gcb.13869" TargetMode="External" /><Relationship Type="http://schemas.openxmlformats.org/officeDocument/2006/relationships/hyperlink" Id="rId92" Target="https://doi.org/10.1111/j.1523-1739.2005.00148.x" TargetMode="External" /><Relationship Type="http://schemas.openxmlformats.org/officeDocument/2006/relationships/hyperlink" Id="rId72" Target="https://github.com/MarineSensitivity/api/blob/main/plumber.R" TargetMode="External" /><Relationship Type="http://schemas.openxmlformats.org/officeDocument/2006/relationships/hyperlink" Id="rId134" Target="https://github.com/MarineSensitivity/apps/tree/main/aoi" TargetMode="External" /><Relationship Type="http://schemas.openxmlformats.org/officeDocument/2006/relationships/hyperlink" Id="rId140" Target="https://github.com/MarineSensitivity/apps/tree/main/bird_hotspots" TargetMode="External" /><Relationship Type="http://schemas.openxmlformats.org/officeDocument/2006/relationships/hyperlink" Id="rId146" Target="https://github.com/MarineSensitivity/apps/tree/main/map" TargetMode="External" /><Relationship Type="http://schemas.openxmlformats.org/officeDocument/2006/relationships/hyperlink" Id="rId128" Target="https://github.com/MarineSensitivity/apps/tree/main/sdm" TargetMode="External" /><Relationship Type="http://schemas.openxmlformats.org/officeDocument/2006/relationships/hyperlink" Id="rId122" Target="https://github.com/MarineSensitivity/apps/tree/main/sdm-cog" TargetMode="External" /><Relationship Type="http://schemas.openxmlformats.org/officeDocument/2006/relationships/hyperlink" Id="rId116" Target="https://github.com/MarineSensitivity/apps/tree/main/vmap" TargetMode="External" /><Relationship Type="http://schemas.openxmlformats.org/officeDocument/2006/relationships/hyperlink" Id="rId74" Target="https://github.com/MarineSensitivity/msens" TargetMode="External" /><Relationship Type="http://schemas.openxmlformats.org/officeDocument/2006/relationships/hyperlink" Id="rId46" Target="https://github.com/MarineSensitivity/server/blob/main/docker-compose.yml" TargetMode="External" /><Relationship Type="http://schemas.openxmlformats.org/officeDocument/2006/relationships/hyperlink" Id="rId48" Target="https://github.com/MarineSensitivity/server/wiki/Server-Setup" TargetMode="External" /><Relationship Type="http://schemas.openxmlformats.org/officeDocument/2006/relationships/hyperlink" Id="rId70" Target="https://github.com/MarineSensitivity/workflows" TargetMode="External" /><Relationship Type="http://schemas.openxmlformats.org/officeDocument/2006/relationships/hyperlink" Id="rId42" Target="https://marinesensitivity.org/" TargetMode="External" /><Relationship Type="http://schemas.openxmlformats.org/officeDocument/2006/relationships/hyperlink" Id="rId43" Target="https://marinesensitivity.org/docs" TargetMode="External" /><Relationship Type="http://schemas.openxmlformats.org/officeDocument/2006/relationships/hyperlink" Id="rId80" Target="https://marinesensitivity.org/faq/" TargetMode="External" /><Relationship Type="http://schemas.openxmlformats.org/officeDocument/2006/relationships/hyperlink" Id="rId44" Target="https://marinesensitivity.org/msens" TargetMode="External" /><Relationship Type="http://schemas.openxmlformats.org/officeDocument/2006/relationships/hyperlink" Id="rId69" Target="https://marinesensitivity.org/workflows/" TargetMode="External" /><Relationship Type="http://schemas.openxmlformats.org/officeDocument/2006/relationships/hyperlink" Id="rId65" Target="https://marinesensitivity.org/workflows/create_sdm-tables.html" TargetMode="External" /><Relationship Type="http://schemas.openxmlformats.org/officeDocument/2006/relationships/hyperlink" Id="rId66" Target="https://marinesensitivity.org/workflows/ingest_sdm-gm.html" TargetMode="External" /><Relationship Type="http://schemas.openxmlformats.org/officeDocument/2006/relationships/hyperlink" Id="rId55" Target="https://pgadmin.marinesensitivity.org" TargetMode="External" /><Relationship Type="http://schemas.openxmlformats.org/officeDocument/2006/relationships/hyperlink" Id="rId51" Target="https://posit.co/products/open-source/rstudio-server/" TargetMode="External" /><Relationship Type="http://schemas.openxmlformats.org/officeDocument/2006/relationships/hyperlink" Id="rId60" Target="https://postgrest.org/en/stable/" TargetMode="External" /><Relationship Type="http://schemas.openxmlformats.org/officeDocument/2006/relationships/hyperlink" Id="rId50" Target="https://rstudio.marinesensitivity.org" TargetMode="External" /><Relationship Type="http://schemas.openxmlformats.org/officeDocument/2006/relationships/hyperlink" Id="rId52" Target="https://shiny.marinesensitivity.org" TargetMode="External" /><Relationship Type="http://schemas.openxmlformats.org/officeDocument/2006/relationships/hyperlink" Id="rId133" Target="https://shiny.marinesensitivity.org/aoi/" TargetMode="External" /><Relationship Type="http://schemas.openxmlformats.org/officeDocument/2006/relationships/hyperlink" Id="rId139" Target="https://shiny.marinesensitivity.org/bird_hotspots/" TargetMode="External" /><Relationship Type="http://schemas.openxmlformats.org/officeDocument/2006/relationships/hyperlink" Id="rId53" Target="https://shiny.marinesensitivity.org/map" TargetMode="External" /><Relationship Type="http://schemas.openxmlformats.org/officeDocument/2006/relationships/hyperlink" Id="rId145" Target="https://shiny.marinesensitivity.org/map/" TargetMode="External" /><Relationship Type="http://schemas.openxmlformats.org/officeDocument/2006/relationships/hyperlink" Id="rId121" Target="https://shiny.marinesensitivity.org/sdm-cog/" TargetMode="External" /><Relationship Type="http://schemas.openxmlformats.org/officeDocument/2006/relationships/hyperlink" Id="rId127" Target="https://shiny.marinesensitivity.org/sdm/" TargetMode="External" /><Relationship Type="http://schemas.openxmlformats.org/officeDocument/2006/relationships/hyperlink" Id="rId115" Target="https://shiny.marinesensitivity.org/vmap/" TargetMode="External" /><Relationship Type="http://schemas.openxmlformats.org/officeDocument/2006/relationships/hyperlink" Id="rId54" Target="https://shiny.posit.co/" TargetMode="External" /><Relationship Type="http://schemas.openxmlformats.org/officeDocument/2006/relationships/hyperlink" Id="rId59" Target="https://swagger.marinesensitivity.org" TargetMode="External" /><Relationship Type="http://schemas.openxmlformats.org/officeDocument/2006/relationships/hyperlink" Id="rId61" Target="https://tile.marinesensitivity.org" TargetMode="External" /><Relationship Type="http://schemas.openxmlformats.org/officeDocument/2006/relationships/hyperlink" Id="rId45" Target="https://www.docker.com/" TargetMode="External" /><Relationship Type="http://schemas.openxmlformats.org/officeDocument/2006/relationships/hyperlink" Id="rId56" Target="https://www.pgadmin.org/" TargetMode="External" /><Relationship Type="http://schemas.openxmlformats.org/officeDocument/2006/relationships/hyperlink" Id="rId58" Target="https://www.rplumber.io/" TargetMode="External" /></Relationships>
</file>

<file path=word/_rels/footnotes.xml.rels><?xml version="1.0" encoding="UTF-8"?><Relationships xmlns="http://schemas.openxmlformats.org/package/2006/relationships"><Relationship Type="http://schemas.openxmlformats.org/officeDocument/2006/relationships/hyperlink" Id="rId96" Target="MarineBON.org" TargetMode="External" /><Relationship Type="http://schemas.openxmlformats.org/officeDocument/2006/relationships/hyperlink" Id="rId75" Target="api.qmd" TargetMode="External" /><Relationship Type="http://schemas.openxmlformats.org/officeDocument/2006/relationships/hyperlink" Id="rId76" Target="db.qmd" TargetMode="External" /><Relationship Type="http://schemas.openxmlformats.org/officeDocument/2006/relationships/hyperlink" Id="rId57" Target="https://api.marinesensitivity.org" TargetMode="External" /><Relationship Type="http://schemas.openxmlformats.org/officeDocument/2006/relationships/hyperlink" Id="rId21" Target="https://boem.gov" TargetMode="External" /><Relationship Type="http://schemas.openxmlformats.org/officeDocument/2006/relationships/hyperlink" Id="rId47" Target="https://caddyserver.com" TargetMode="External" /><Relationship Type="http://schemas.openxmlformats.org/officeDocument/2006/relationships/hyperlink" Id="rId106" Target="https://conbio.onlinelibrary.wiley.com/doi/full/10.1111/j.1523-1739.2005.00148.x?casa_token=dQbCiVMGuTIAAAAA%3AjvFOL6f0ggi0pK1GfG296SGiluvGmFMdDGakyX04WfcHE-SopBk_Hewjc9BLIavWYiBU4wS8w3Ay5K-0#b14" TargetMode="External" /><Relationship Type="http://schemas.openxmlformats.org/officeDocument/2006/relationships/hyperlink" Id="rId105" Target="https://conbio.onlinelibrary.wiley.com/doi/full/10.1111/j.1523-1739.2005.00148.x?casa_token=dQbCiVMGuTIAAAAA%3AjvFOL6f0ggi0pK1GfG296SGiluvGmFMdDGakyX04WfcHE-SopBk_Hewjc9BLIavWYiBU4wS8w3Ay5K-0#b33" TargetMode="External" /><Relationship Type="http://schemas.openxmlformats.org/officeDocument/2006/relationships/hyperlink" Id="rId104" Target="https://conbio.onlinelibrary.wiley.com/doi/full/10.1111/j.1523-1739.2005.00148.x?casa_token=dQbCiVMGuTIAAAAA%3AjvFOL6f0ggi0pK1GfG296SGiluvGmFMdDGakyX04WfcHE-SopBk_Hewjc9BLIavWYiBU4wS8w3Ay5K-0#b39" TargetMode="External" /><Relationship Type="http://schemas.openxmlformats.org/officeDocument/2006/relationships/hyperlink" Id="rId90" Target="https://doi.org/10.1007/s10584-016-1642-0" TargetMode="External" /><Relationship Type="http://schemas.openxmlformats.org/officeDocument/2006/relationships/hyperlink" Id="rId83" Target="https://doi.org/10.1038/s41558-022-01437-y" TargetMode="External" /><Relationship Type="http://schemas.openxmlformats.org/officeDocument/2006/relationships/hyperlink" Id="rId85" Target="https://doi.org/10.1080/09640568.2014.973483" TargetMode="External" /><Relationship Type="http://schemas.openxmlformats.org/officeDocument/2006/relationships/hyperlink" Id="rId87" Target="https://doi.org/10.1111/gcb.13869" TargetMode="External" /><Relationship Type="http://schemas.openxmlformats.org/officeDocument/2006/relationships/hyperlink" Id="rId92" Target="https://doi.org/10.1111/j.1523-1739.2005.00148.x" TargetMode="External" /><Relationship Type="http://schemas.openxmlformats.org/officeDocument/2006/relationships/hyperlink" Id="rId72" Target="https://github.com/MarineSensitivity/api/blob/main/plumber.R" TargetMode="External" /><Relationship Type="http://schemas.openxmlformats.org/officeDocument/2006/relationships/hyperlink" Id="rId134" Target="https://github.com/MarineSensitivity/apps/tree/main/aoi" TargetMode="External" /><Relationship Type="http://schemas.openxmlformats.org/officeDocument/2006/relationships/hyperlink" Id="rId140" Target="https://github.com/MarineSensitivity/apps/tree/main/bird_hotspots" TargetMode="External" /><Relationship Type="http://schemas.openxmlformats.org/officeDocument/2006/relationships/hyperlink" Id="rId146" Target="https://github.com/MarineSensitivity/apps/tree/main/map" TargetMode="External" /><Relationship Type="http://schemas.openxmlformats.org/officeDocument/2006/relationships/hyperlink" Id="rId128" Target="https://github.com/MarineSensitivity/apps/tree/main/sdm" TargetMode="External" /><Relationship Type="http://schemas.openxmlformats.org/officeDocument/2006/relationships/hyperlink" Id="rId122" Target="https://github.com/MarineSensitivity/apps/tree/main/sdm-cog" TargetMode="External" /><Relationship Type="http://schemas.openxmlformats.org/officeDocument/2006/relationships/hyperlink" Id="rId116" Target="https://github.com/MarineSensitivity/apps/tree/main/vmap" TargetMode="External" /><Relationship Type="http://schemas.openxmlformats.org/officeDocument/2006/relationships/hyperlink" Id="rId74" Target="https://github.com/MarineSensitivity/msens" TargetMode="External" /><Relationship Type="http://schemas.openxmlformats.org/officeDocument/2006/relationships/hyperlink" Id="rId46" Target="https://github.com/MarineSensitivity/server/blob/main/docker-compose.yml" TargetMode="External" /><Relationship Type="http://schemas.openxmlformats.org/officeDocument/2006/relationships/hyperlink" Id="rId48" Target="https://github.com/MarineSensitivity/server/wiki/Server-Setup" TargetMode="External" /><Relationship Type="http://schemas.openxmlformats.org/officeDocument/2006/relationships/hyperlink" Id="rId70" Target="https://github.com/MarineSensitivity/workflows" TargetMode="External" /><Relationship Type="http://schemas.openxmlformats.org/officeDocument/2006/relationships/hyperlink" Id="rId42" Target="https://marinesensitivity.org/" TargetMode="External" /><Relationship Type="http://schemas.openxmlformats.org/officeDocument/2006/relationships/hyperlink" Id="rId43" Target="https://marinesensitivity.org/docs" TargetMode="External" /><Relationship Type="http://schemas.openxmlformats.org/officeDocument/2006/relationships/hyperlink" Id="rId80" Target="https://marinesensitivity.org/faq/" TargetMode="External" /><Relationship Type="http://schemas.openxmlformats.org/officeDocument/2006/relationships/hyperlink" Id="rId44" Target="https://marinesensitivity.org/msens" TargetMode="External" /><Relationship Type="http://schemas.openxmlformats.org/officeDocument/2006/relationships/hyperlink" Id="rId69" Target="https://marinesensitivity.org/workflows/" TargetMode="External" /><Relationship Type="http://schemas.openxmlformats.org/officeDocument/2006/relationships/hyperlink" Id="rId65" Target="https://marinesensitivity.org/workflows/create_sdm-tables.html" TargetMode="External" /><Relationship Type="http://schemas.openxmlformats.org/officeDocument/2006/relationships/hyperlink" Id="rId66" Target="https://marinesensitivity.org/workflows/ingest_sdm-gm.html" TargetMode="External" /><Relationship Type="http://schemas.openxmlformats.org/officeDocument/2006/relationships/hyperlink" Id="rId55" Target="https://pgadmin.marinesensitivity.org" TargetMode="External" /><Relationship Type="http://schemas.openxmlformats.org/officeDocument/2006/relationships/hyperlink" Id="rId51" Target="https://posit.co/products/open-source/rstudio-server/" TargetMode="External" /><Relationship Type="http://schemas.openxmlformats.org/officeDocument/2006/relationships/hyperlink" Id="rId60" Target="https://postgrest.org/en/stable/" TargetMode="External" /><Relationship Type="http://schemas.openxmlformats.org/officeDocument/2006/relationships/hyperlink" Id="rId50" Target="https://rstudio.marinesensitivity.org" TargetMode="External" /><Relationship Type="http://schemas.openxmlformats.org/officeDocument/2006/relationships/hyperlink" Id="rId52" Target="https://shiny.marinesensitivity.org" TargetMode="External" /><Relationship Type="http://schemas.openxmlformats.org/officeDocument/2006/relationships/hyperlink" Id="rId133" Target="https://shiny.marinesensitivity.org/aoi/" TargetMode="External" /><Relationship Type="http://schemas.openxmlformats.org/officeDocument/2006/relationships/hyperlink" Id="rId139" Target="https://shiny.marinesensitivity.org/bird_hotspots/" TargetMode="External" /><Relationship Type="http://schemas.openxmlformats.org/officeDocument/2006/relationships/hyperlink" Id="rId53" Target="https://shiny.marinesensitivity.org/map" TargetMode="External" /><Relationship Type="http://schemas.openxmlformats.org/officeDocument/2006/relationships/hyperlink" Id="rId145" Target="https://shiny.marinesensitivity.org/map/" TargetMode="External" /><Relationship Type="http://schemas.openxmlformats.org/officeDocument/2006/relationships/hyperlink" Id="rId121" Target="https://shiny.marinesensitivity.org/sdm-cog/" TargetMode="External" /><Relationship Type="http://schemas.openxmlformats.org/officeDocument/2006/relationships/hyperlink" Id="rId127" Target="https://shiny.marinesensitivity.org/sdm/" TargetMode="External" /><Relationship Type="http://schemas.openxmlformats.org/officeDocument/2006/relationships/hyperlink" Id="rId115" Target="https://shiny.marinesensitivity.org/vmap/" TargetMode="External" /><Relationship Type="http://schemas.openxmlformats.org/officeDocument/2006/relationships/hyperlink" Id="rId54" Target="https://shiny.posit.co/" TargetMode="External" /><Relationship Type="http://schemas.openxmlformats.org/officeDocument/2006/relationships/hyperlink" Id="rId59" Target="https://swagger.marinesensitivity.org" TargetMode="External" /><Relationship Type="http://schemas.openxmlformats.org/officeDocument/2006/relationships/hyperlink" Id="rId61" Target="https://tile.marinesensitivity.org" TargetMode="External" /><Relationship Type="http://schemas.openxmlformats.org/officeDocument/2006/relationships/hyperlink" Id="rId45" Target="https://www.docker.com/" TargetMode="External" /><Relationship Type="http://schemas.openxmlformats.org/officeDocument/2006/relationships/hyperlink" Id="rId56" Target="https://www.pgadmin.org/" TargetMode="External" /><Relationship Type="http://schemas.openxmlformats.org/officeDocument/2006/relationships/hyperlink" Id="rId58" Target="https://www.rplumber.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Marine Sensitivity</dc:title>
  <dc:creator>Ben Best</dc:creator>
  <cp:keywords/>
  <dcterms:created xsi:type="dcterms:W3CDTF">2024-08-29T14:49:39Z</dcterms:created>
  <dcterms:modified xsi:type="dcterms:W3CDTF">2024-08-29T14:49:39Z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2024-08-29</vt:lpwstr>
  </property>
  <property fmtid="{D5CDD505-2E9C-101B-9397-08002B2CF9AE}" pid="9" name="date-format">
    <vt:lpwstr>YYYY-MM-DD</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subtitle">
    <vt:lpwstr>Marine Sensitivity Documentation</vt:lpwstr>
  </property>
  <property fmtid="{D5CDD505-2E9C-101B-9397-08002B2CF9AE}" pid="15" name="template-partials">
    <vt:lpwstr/>
  </property>
  <property fmtid="{D5CDD505-2E9C-101B-9397-08002B2CF9AE}" pid="16" name="toc-title">
    <vt:lpwstr>Table of contents</vt:lpwstr>
  </property>
</Properties>
</file>